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10.1016@j.ijpharm.2020.119210.pdf</w:t>
      </w:r>
      <w:br/>
      <w:hyperlink r:id="rId7" w:history="1">
        <w:r>
          <w:rPr>
            <w:color w:val="2980b9"/>
            <w:u w:val="single"/>
          </w:rPr>
          <w:t xml:space="preserve">https://typeset.io/library/untitled-collection-2mmj6ruw/10-1016-j-ijpharm-2020-119210-pdf-22bmg32u</w:t>
        </w:r>
      </w:hyperlink>
    </w:p>
    <w:p>
      <w:pPr>
        <w:pStyle w:val="Heading1"/>
      </w:pPr>
      <w:bookmarkStart w:id="2" w:name="_Toc2"/>
      <w:r>
        <w:t>Article summary:</w:t>
      </w:r>
      <w:bookmarkEnd w:id="2"/>
    </w:p>
    <w:p>
      <w:pPr>
        <w:jc w:val="both"/>
      </w:pPr>
      <w:r>
        <w:rPr/>
        <w:t xml:space="preserve">1. 本文探讨了一种新型可控释药物矩阵片剂的开发和实验设计，以用于半水合伊那帕胺。</w:t>
      </w:r>
    </w:p>
    <w:p>
      <w:pPr>
        <w:jc w:val="both"/>
      </w:pPr>
      <w:r>
        <w:rPr/>
        <w:t xml:space="preserve">2. 文章还提出了一种IVIVC（体外-体内相关性）模型，用于优化通用开发。</w:t>
      </w:r>
    </w:p>
    <w:p>
      <w:pPr>
        <w:jc w:val="both"/>
      </w:pPr>
      <w:r>
        <w:rPr/>
        <w:t xml:space="preserve">3. 此外，文章还对FDA、EMA和WHO的BCS生物豁免要求进行了比较。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本文是一篇关于开发和实验设计一种新型可控释药物矩阵片剂以用于半水合伊那帕胺的文章。作者使用大量来源来证明他们的主张，并且在此之上得出有力的结论。</w:t>
      </w:r>
    </w:p>
    <w:p>
      <w:pPr>
        <w:jc w:val="both"/>
      </w:pPr>
      <w:r>
        <w:rPr/>
        <w:t xml:space="preserve">然而，本文也存在一定的问题。例如，作者在分析IVIVC时没有考虑到不同国家/地区之间存在的差异。此外，作者也未能就BCS生物豁免要求之间存在的差异进行详尽分析。此外，作者也未能就不同国家/地区之间存在的法律法规差异进行详尽分析。</w:t>
      </w:r>
    </w:p>
    <w:p>
      <w:pPr>
        <w:jc w:val="both"/>
      </w:pPr>
      <w:r>
        <w:rPr/>
        <w:t xml:space="preserve">总而言之，本文是一篇具有可信度和可靠性的文章；然而，也存在一定的问题。</w:t>
      </w:r>
    </w:p>
    <w:p>
      <w:pPr>
        <w:pStyle w:val="Heading1"/>
      </w:pPr>
      <w:bookmarkStart w:id="5" w:name="_Toc5"/>
      <w:r>
        <w:t>Topics for further research:</w:t>
      </w:r>
      <w:bookmarkEnd w:id="5"/>
    </w:p>
    <w:p>
      <w:pPr>
        <w:spacing w:after="0"/>
        <w:numPr>
          <w:ilvl w:val="0"/>
          <w:numId w:val="2"/>
        </w:numPr>
      </w:pPr>
      <w:r>
        <w:rPr/>
        <w:t xml:space="preserve">国际药物IVIVC差异；</w:t>
      </w:r>
    </w:p>
    <w:p>
      <w:pPr>
        <w:spacing w:after="0"/>
        <w:numPr>
          <w:ilvl w:val="0"/>
          <w:numId w:val="2"/>
        </w:numPr>
      </w:pPr>
      <w:r>
        <w:rPr/>
        <w:t xml:space="preserve">BCS生物豁免要求差异；</w:t>
      </w:r>
    </w:p>
    <w:p>
      <w:pPr>
        <w:spacing w:after="0"/>
        <w:numPr>
          <w:ilvl w:val="0"/>
          <w:numId w:val="2"/>
        </w:numPr>
      </w:pPr>
      <w:r>
        <w:rPr/>
        <w:t xml:space="preserve">国际药物法律法规差异；</w:t>
      </w:r>
    </w:p>
    <w:p>
      <w:pPr>
        <w:spacing w:after="0"/>
        <w:numPr>
          <w:ilvl w:val="0"/>
          <w:numId w:val="2"/>
        </w:numPr>
      </w:pPr>
      <w:r>
        <w:rPr/>
        <w:t xml:space="preserve">可控释药物矩阵片剂开发；</w:t>
      </w:r>
    </w:p>
    <w:p>
      <w:pPr>
        <w:spacing w:after="0"/>
        <w:numPr>
          <w:ilvl w:val="0"/>
          <w:numId w:val="2"/>
        </w:numPr>
      </w:pPr>
      <w:r>
        <w:rPr/>
        <w:t xml:space="preserve">半水合伊那帕胺实验设计；</w:t>
      </w:r>
    </w:p>
    <w:p>
      <w:pPr>
        <w:numPr>
          <w:ilvl w:val="0"/>
          <w:numId w:val="2"/>
        </w:numPr>
      </w:pPr>
      <w:r>
        <w:rPr/>
        <w:t xml:space="preserve">可控释药物矩阵片剂应用。</w:t>
      </w:r>
    </w:p>
    <w:p>
      <w:pPr>
        <w:pStyle w:val="Heading1"/>
      </w:pPr>
      <w:bookmarkStart w:id="6" w:name="_Toc6"/>
      <w:r>
        <w:t>Report location:</w:t>
      </w:r>
      <w:bookmarkEnd w:id="6"/>
    </w:p>
    <w:p>
      <w:hyperlink r:id="rId8" w:history="1">
        <w:r>
          <w:rPr>
            <w:color w:val="2980b9"/>
            <w:u w:val="single"/>
          </w:rPr>
          <w:t xml:space="preserve">https://www.fullpicture.app/item/1fa2242d2c23a73f6e828c61985a9a3b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B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mmj6ruw/10-1016-j-ijpharm-2020-119210-pdf-22bmg32u" TargetMode="External"/><Relationship Id="rId8" Type="http://schemas.openxmlformats.org/officeDocument/2006/relationships/hyperlink" Target="https://www.fullpicture.app/item/1fa2242d2c23a73f6e828c61985a9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2023-02-25T21:04:46+01:00</dcterms:created>
  <dcterms:modified xsi:type="dcterms:W3CDTF">2023-02-25T21:04:46+01:00</dcterms:modified>
</cp:coreProperties>
</file>

<file path=docProps/custom.xml><?xml version="1.0" encoding="utf-8"?>
<Properties xmlns="http://schemas.openxmlformats.org/officeDocument/2006/custom-properties" xmlns:vt="http://schemas.openxmlformats.org/officeDocument/2006/docPropsVTypes"/>
</file>