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2022-23 Budget: Analysis of Child Support Program Proposals</w:t>
      </w:r>
      <w:br/>
      <w:hyperlink r:id="rId7" w:history="1">
        <w:r>
          <w:rPr>
            <w:color w:val="2980b9"/>
            <w:u w:val="single"/>
          </w:rPr>
          <w:t xml:space="preserve">https://lao.ca.gov/Publications/Report/4550</w:t>
        </w:r>
      </w:hyperlink>
    </w:p>
    <w:p>
      <w:pPr>
        <w:pStyle w:val="Heading1"/>
      </w:pPr>
      <w:bookmarkStart w:id="2" w:name="_Toc2"/>
      <w:r>
        <w:t>Article summary:</w:t>
      </w:r>
      <w:bookmarkEnd w:id="2"/>
    </w:p>
    <w:p>
      <w:pPr>
        <w:jc w:val="both"/>
      </w:pPr>
      <w:r>
        <w:rPr/>
        <w:t xml:space="preserve">1. The Child Support Program is a federal-state program that establishes, collects, and distributes child support payments to enrolled parents with children. In California, the program is administered by 47 county and regional local child support agencies (LCSAs), in partnership with local courts.</w:t>
      </w:r>
    </w:p>
    <w:p>
      <w:pPr>
        <w:jc w:val="both"/>
      </w:pPr>
      <w:r>
        <w:rPr/>
        <w:t xml:space="preserve">2. The Governor's budget proposes to increase administrative funding for LCSAs by $20.1 million General Fund in 2022-23 and to fully pass through all past-due CalWORKs recoupment payments that otherwise would have gone to the government to former CalWORKs families instead effective January 2023.</w:t>
      </w:r>
    </w:p>
    <w:p>
      <w:pPr>
        <w:jc w:val="both"/>
      </w:pPr>
      <w:r>
        <w:rPr/>
        <w:t xml:space="preserve">3. The majority of child support cases are required to enter the program as a result of CalWORKs participation, and if currently owed support is not paid, debt is created and tracked. The state has discretion over what amount of payments are passed through to current and former CalWORKs families.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child support program proposals in the 2022-23 budget. However, there are some potential biases and missing points of consideration that need to be addressed.</w:t>
      </w:r>
    </w:p>
    <w:p>
      <w:pPr>
        <w:jc w:val="both"/>
      </w:pPr>
      <w:r>
        <w:rPr/>
        <w:t xml:space="preserve"/>
      </w:r>
    </w:p>
    <w:p>
      <w:pPr>
        <w:jc w:val="both"/>
      </w:pPr>
      <w:r>
        <w:rPr/>
        <w:t xml:space="preserve">One-sided reporting: The article mainly focuses on the Governor's budget proposal and does not provide an in-depth analysis of alternative approaches for legislative consideration. For example, when discussing the pass-through policy framework for former CalWORKs families, the article only mentions that the Legislature may wish to consider various policy options without providing any specific recommendations or insights into these options.</w:t>
      </w:r>
    </w:p>
    <w:p>
      <w:pPr>
        <w:jc w:val="both"/>
      </w:pPr>
      <w:r>
        <w:rPr/>
        <w:t xml:space="preserve"/>
      </w:r>
    </w:p>
    <w:p>
      <w:pPr>
        <w:jc w:val="both"/>
      </w:pPr>
      <w:r>
        <w:rPr/>
        <w:t xml:space="preserve">Missing evidence for claims made: The article states that the Governor's budget proposal would result in $93.5 million going to some former CalWORKs families in 2022-23, increasing to $187 million in 2024-25 and ongoing. However, it does not provide any evidence or data to support these estimates.</w:t>
      </w:r>
    </w:p>
    <w:p>
      <w:pPr>
        <w:jc w:val="both"/>
      </w:pPr>
      <w:r>
        <w:rPr/>
        <w:t xml:space="preserve"/>
      </w:r>
    </w:p>
    <w:p>
      <w:pPr>
        <w:jc w:val="both"/>
      </w:pPr>
      <w:r>
        <w:rPr/>
        <w:t xml:space="preserve">Unexplored counterarguments: The article does not explore any potential counterarguments against the Governor's budget proposal. For example, it does not discuss whether fully passing through past-due CalWORKs recoupment payments to former CalWORKs families could have unintended consequences such as reducing funding for other important programs or increasing government debt.</w:t>
      </w:r>
    </w:p>
    <w:p>
      <w:pPr>
        <w:jc w:val="both"/>
      </w:pPr>
      <w:r>
        <w:rPr/>
        <w:t xml:space="preserve"/>
      </w:r>
    </w:p>
    <w:p>
      <w:pPr>
        <w:jc w:val="both"/>
      </w:pPr>
      <w:r>
        <w:rPr/>
        <w:t xml:space="preserve">Promotional content: The article includes some promotional content for the Governor's budget proposal, such as stating that it mainly benefits low-income former CalWORKs parents with adult children. While this may be true, it is important to present both sides equally and objectively.</w:t>
      </w:r>
    </w:p>
    <w:p>
      <w:pPr>
        <w:jc w:val="both"/>
      </w:pPr>
      <w:r>
        <w:rPr/>
        <w:t xml:space="preserve"/>
      </w:r>
    </w:p>
    <w:p>
      <w:pPr>
        <w:jc w:val="both"/>
      </w:pPr>
      <w:r>
        <w:rPr/>
        <w:t xml:space="preserve">Partiality: The article appears to be partial towards the Governor's budget proposal by focusing mainly on its benefits and not providing a balanced analysis of its potential drawbacks or alternatives.</w:t>
      </w:r>
    </w:p>
    <w:p>
      <w:pPr>
        <w:jc w:val="both"/>
      </w:pPr>
      <w:r>
        <w:rPr/>
        <w:t xml:space="preserve"/>
      </w:r>
    </w:p>
    <w:p>
      <w:pPr>
        <w:jc w:val="both"/>
      </w:pPr>
      <w:r>
        <w:rPr/>
        <w:t xml:space="preserve">In conclusion, while the article provides a useful overview of the child support program proposals in the 2022-23 budget, it could benefit from a more balanced and objective analysis that explores alternative approaches and potential counterarguments.</w:t>
      </w:r>
    </w:p>
    <w:p>
      <w:pPr>
        <w:pStyle w:val="Heading1"/>
      </w:pPr>
      <w:bookmarkStart w:id="5" w:name="_Toc5"/>
      <w:r>
        <w:t>Topics for further research:</w:t>
      </w:r>
      <w:bookmarkEnd w:id="5"/>
    </w:p>
    <w:p>
      <w:pPr>
        <w:spacing w:after="0"/>
        <w:numPr>
          <w:ilvl w:val="0"/>
          <w:numId w:val="2"/>
        </w:numPr>
      </w:pPr>
      <w:r>
        <w:rPr/>
        <w:t xml:space="preserve">Alternative child support program proposals in California budget 2022-23
</w:t>
      </w:r>
    </w:p>
    <w:p>
      <w:pPr>
        <w:spacing w:after="0"/>
        <w:numPr>
          <w:ilvl w:val="0"/>
          <w:numId w:val="2"/>
        </w:numPr>
      </w:pPr>
      <w:r>
        <w:rPr/>
        <w:t xml:space="preserve">Criticisms of Governor's child support program proposal
</w:t>
      </w:r>
    </w:p>
    <w:p>
      <w:pPr>
        <w:spacing w:after="0"/>
        <w:numPr>
          <w:ilvl w:val="0"/>
          <w:numId w:val="2"/>
        </w:numPr>
      </w:pPr>
      <w:r>
        <w:rPr/>
        <w:t xml:space="preserve">Potential unintended consequences of passing through past-due CalWORKs recoupment payments
</w:t>
      </w:r>
    </w:p>
    <w:p>
      <w:pPr>
        <w:spacing w:after="0"/>
        <w:numPr>
          <w:ilvl w:val="0"/>
          <w:numId w:val="2"/>
        </w:numPr>
      </w:pPr>
      <w:r>
        <w:rPr/>
        <w:t xml:space="preserve">Impact of child support program proposals on other important programs
</w:t>
      </w:r>
    </w:p>
    <w:p>
      <w:pPr>
        <w:spacing w:after="0"/>
        <w:numPr>
          <w:ilvl w:val="0"/>
          <w:numId w:val="2"/>
        </w:numPr>
      </w:pPr>
      <w:r>
        <w:rPr/>
        <w:t xml:space="preserve">Analysis of child support program proposals from a non-partisan perspective
</w:t>
      </w:r>
    </w:p>
    <w:p>
      <w:pPr>
        <w:numPr>
          <w:ilvl w:val="0"/>
          <w:numId w:val="2"/>
        </w:numPr>
      </w:pPr>
      <w:r>
        <w:rPr/>
        <w:t xml:space="preserve">Comparison of child support program proposals in California with other states</w:t>
      </w:r>
    </w:p>
    <w:p>
      <w:pPr>
        <w:pStyle w:val="Heading1"/>
      </w:pPr>
      <w:bookmarkStart w:id="6" w:name="_Toc6"/>
      <w:r>
        <w:t>Report location:</w:t>
      </w:r>
      <w:bookmarkEnd w:id="6"/>
    </w:p>
    <w:p>
      <w:hyperlink r:id="rId8" w:history="1">
        <w:r>
          <w:rPr>
            <w:color w:val="2980b9"/>
            <w:u w:val="single"/>
          </w:rPr>
          <w:t xml:space="preserve">https://www.fullpicture.app/item/1fc5c6302defbdee637e375b01ba2e0b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E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o.ca.gov/Publications/Report/4550" TargetMode="External"/><Relationship Id="rId8" Type="http://schemas.openxmlformats.org/officeDocument/2006/relationships/hyperlink" Target="https://www.fullpicture.app/item/1fc5c6302defbdee637e375b01ba2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2024-01-30T19:09:55+01:00</dcterms:created>
  <dcterms:modified xsi:type="dcterms:W3CDTF">2024-01-30T19:09:55+01:00</dcterms:modified>
</cp:coreProperties>
</file>

<file path=docProps/custom.xml><?xml version="1.0" encoding="utf-8"?>
<Properties xmlns="http://schemas.openxmlformats.org/officeDocument/2006/custom-properties" xmlns:vt="http://schemas.openxmlformats.org/officeDocument/2006/docPropsVTypes"/>
</file>