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pensions in aging economies</w:t>
      </w:r>
      <w:br/>
      <w:hyperlink r:id="rId7" w:history="1">
        <w:r>
          <w:rPr>
            <w:color w:val="2980b9"/>
            <w:u w:val="single"/>
          </w:rPr>
          <w:t xml:space="preserve">https://www.degruyter.com/document/doi/10.1515/bejm-2015-0166/html?lang=en</w:t>
        </w:r>
      </w:hyperlink>
    </w:p>
    <w:p>
      <w:pPr>
        <w:pStyle w:val="Heading1"/>
      </w:pPr>
      <w:bookmarkStart w:id="2" w:name="_Toc2"/>
      <w:r>
        <w:t>Article summary:</w:t>
      </w:r>
      <w:bookmarkEnd w:id="2"/>
    </w:p>
    <w:p>
      <w:pPr>
        <w:jc w:val="both"/>
      </w:pPr>
      <w:r>
        <w:rPr/>
        <w:t xml:space="preserve">1. İmrohoroğlu, İmrohoroğlu, and Joines (1999) found that optimal unfunded pay-as-you-go (PAYG) public pensions in the US should be zero in the stationary state.</w:t>
      </w:r>
    </w:p>
    <w:p>
      <w:pPr>
        <w:jc w:val="both"/>
      </w:pPr>
      <w:r>
        <w:rPr/>
        <w:t xml:space="preserve">2. This paper extends their analysis by accounting for a more realistic wage distribution, labor supply adjustment due to pension contributions, and income tax distortion.</w:t>
      </w:r>
    </w:p>
    <w:p>
      <w:pPr>
        <w:jc w:val="both"/>
      </w:pPr>
      <w:r>
        <w:rPr/>
        <w:t xml:space="preserve">3. The authors find an optimal value of the net pension replacement ratio close to zero amounting to 8%, and that this result is robust with respect to the specification of preferences but sensitive with respect to the value of the Frisch labor supply elasticity.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optimal pensions in aging economies, extending upon previous research by İmrohoroğlu, İmrohoroğlu, and Joines (1999). The authors account for a more realistic wage distribution, labor supply adjustment due to pension contributions, and income tax distortion when deriving their results. They find an optimal value of the net pension replacement ratio close to zero amounting to 8%, which is robust with respect to the specification of preferences but sensitive with respect to the value of the Frisch labor supply elasticity.</w:t>
      </w:r>
    </w:p>
    <w:p>
      <w:pPr>
        <w:jc w:val="both"/>
      </w:pPr>
      <w:r>
        <w:rPr/>
        <w:t xml:space="preserve">The article is generally reliable and trustworthy as it draws on existing research from reputable sources such as İmrohoroğlu et al., Nishiyama and Smetters (2007), İmrohoroğlu and Kitao (2009), Kitao (2014), Fehr et al., Storesletten et al., De Nardi et al., Krueger and Ludwig (2007), Epstein-Zin preferences, Kaplan (2012), UN (2015). Furthermore, it provides detailed descriptions of its model assumptions as well as its calibration process.</w:t>
      </w:r>
    </w:p>
    <w:p>
      <w:pPr>
        <w:jc w:val="both"/>
      </w:pPr>
      <w:r>
        <w:rPr/>
        <w:t xml:space="preserve">However, there are some potential biases present in the article which could affect its trustworthiness. Firstly, while it does provide a comprehensive overview of existing literature on public pensions systems, it does not explore counterarguments or alternative perspectives on these topics which could have provided further insight into its findings. Secondly, while it does discuss quantitative welfare effects from abolishing pensions in 2015 and 2050 respectively, it does not provide any evidence or data for these claims which could have strengthened its argumentation. Finally, while it does mention possible risks associated with abolishing pensions such as increased old-age utility losses due to</w:t>
      </w:r>
    </w:p>
    <w:p>
      <w:pPr>
        <w:pStyle w:val="Heading1"/>
      </w:pPr>
      <w:bookmarkStart w:id="5" w:name="_Toc5"/>
      <w:r>
        <w:t>Topics for further research:</w:t>
      </w:r>
      <w:bookmarkEnd w:id="5"/>
    </w:p>
    <w:p>
      <w:pPr>
        <w:spacing w:after="0"/>
        <w:numPr>
          <w:ilvl w:val="0"/>
          <w:numId w:val="2"/>
        </w:numPr>
      </w:pPr>
      <w:r>
        <w:rPr/>
        <w:t xml:space="preserve">Public pension systems counterarguments</w:t>
      </w:r>
    </w:p>
    <w:p>
      <w:pPr>
        <w:spacing w:after="0"/>
        <w:numPr>
          <w:ilvl w:val="0"/>
          <w:numId w:val="2"/>
        </w:numPr>
      </w:pPr>
      <w:r>
        <w:rPr/>
        <w:t xml:space="preserve">Quantitative welfare effects of abolishing pensions</w:t>
      </w:r>
    </w:p>
    <w:p>
      <w:pPr>
        <w:spacing w:after="0"/>
        <w:numPr>
          <w:ilvl w:val="0"/>
          <w:numId w:val="2"/>
        </w:numPr>
      </w:pPr>
      <w:r>
        <w:rPr/>
        <w:t xml:space="preserve">Old-age utility losses due to pension abolition</w:t>
      </w:r>
    </w:p>
    <w:p>
      <w:pPr>
        <w:spacing w:after="0"/>
        <w:numPr>
          <w:ilvl w:val="0"/>
          <w:numId w:val="2"/>
        </w:numPr>
      </w:pPr>
      <w:r>
        <w:rPr/>
        <w:t xml:space="preserve">Alternative perspectives on public pensions</w:t>
      </w:r>
    </w:p>
    <w:p>
      <w:pPr>
        <w:spacing w:after="0"/>
        <w:numPr>
          <w:ilvl w:val="0"/>
          <w:numId w:val="2"/>
        </w:numPr>
      </w:pPr>
      <w:r>
        <w:rPr/>
        <w:t xml:space="preserve">Data on public pension systems</w:t>
      </w:r>
    </w:p>
    <w:p>
      <w:pPr>
        <w:numPr>
          <w:ilvl w:val="0"/>
          <w:numId w:val="2"/>
        </w:numPr>
      </w:pPr>
      <w:r>
        <w:rPr/>
        <w:t xml:space="preserve">Risks associated with abolishing pensions</w:t>
      </w:r>
    </w:p>
    <w:p>
      <w:pPr>
        <w:pStyle w:val="Heading1"/>
      </w:pPr>
      <w:bookmarkStart w:id="6" w:name="_Toc6"/>
      <w:r>
        <w:t>Report location:</w:t>
      </w:r>
      <w:bookmarkEnd w:id="6"/>
    </w:p>
    <w:p>
      <w:hyperlink r:id="rId8" w:history="1">
        <w:r>
          <w:rPr>
            <w:color w:val="2980b9"/>
            <w:u w:val="single"/>
          </w:rPr>
          <w:t xml:space="preserve">https://www.fullpicture.app/item/20a2394df77ab36f098ff6800805aadb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9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bejm-2015-0166/html?lang=en" TargetMode="External"/><Relationship Id="rId8" Type="http://schemas.openxmlformats.org/officeDocument/2006/relationships/hyperlink" Target="https://www.fullpicture.app/item/20a2394df77ab36f098ff6800805a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2023-02-21T15:54:47+01:00</dcterms:created>
  <dcterms:modified xsi:type="dcterms:W3CDTF">2023-02-21T15:54:47+01:00</dcterms:modified>
</cp:coreProperties>
</file>

<file path=docProps/custom.xml><?xml version="1.0" encoding="utf-8"?>
<Properties xmlns="http://schemas.openxmlformats.org/officeDocument/2006/custom-properties" xmlns:vt="http://schemas.openxmlformats.org/officeDocument/2006/docPropsVTypes"/>
</file>