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miR171-targeted SCARECROW-LIKE genes CsSCL2 and CsSCL3 regulate somatic embryogenesis in citrus | Plant Physiology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https://academic.oup.com/plphys/article/192/4/2838/7173070?login=true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miR171-targeted SCARECROW-LIKE genes CsSCL2 and CsSCL3 play a crucial role in regulating somatic embryogenesis in citrus plants.</w:t>
      </w:r>
    </w:p>
    <w:p>
      <w:pPr>
        <w:jc w:val="both"/>
      </w:pPr>
      <w:r>
        <w:rPr/>
        <w:t xml:space="preserve">2. The National Key Laboratory for Germplasm Innovation &amp; Utilization of Horticultural Crops at Huazhong Agricultural University conducted the research.</w:t>
      </w:r>
    </w:p>
    <w:p>
      <w:pPr>
        <w:jc w:val="both"/>
      </w:pPr>
      <w:r>
        <w:rPr/>
        <w:t xml:space="preserve">3. The study provides insights into the molecular mechanisms underlying somatic embryogenesis in citrus and may contribute to the development of efficient propagation methods for citrus crops.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对于上述文章的详细批判性分析，需要先阅读文章的正文内容。但是由于提供的信息只有作者和机构的名称，并没有提供具体的文章内容，因此无法进行详细的分析和提供见解。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根据文章标题可以推测出一些可能存在的偏见或问题。首先，标题中提到miR171靶向SCARECROW-LIKE基因CsSCL2和CsSCL3在柑橘植物中调控体细胞胚胎发生。这暗示了该研究可能是基于特定基因或途径进行的，可能存在对其他相关基因或途径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其次，标题中使用了诸如"regulate"（调控）等词语，暗示了该研究可能会得出明确结论或主张。然而，在没有阅读全文之前，无法确定这些主张是否有充分的证据支持。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另外，在没有具体内容信息的情况下，也无法确定是否存在宣传内容、偏袒、片面报道等问题。同样地，也无法确定作者是否注意到可能存在的风险，并且是否平等地呈现了双方观点。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总之，在没有更多具体信息的情况下，无法对该文章进行详细批判性分析。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miR171在柑橘植物中的功能和调控机制
</w:t>
      </w:r>
    </w:p>
    <w:p>
      <w:pPr>
        <w:spacing w:after="0"/>
        <w:numPr>
          <w:ilvl w:val="0"/>
          <w:numId w:val="2"/>
        </w:numPr>
      </w:pPr>
      <w:r>
        <w:rPr/>
        <w:t xml:space="preserve">SCARECROW-LIKE基因CsSCL2和CsSCL3在柑橘植物中的作用
</w:t>
      </w:r>
    </w:p>
    <w:p>
      <w:pPr>
        <w:spacing w:after="0"/>
        <w:numPr>
          <w:ilvl w:val="0"/>
          <w:numId w:val="2"/>
        </w:numPr>
      </w:pPr>
      <w:r>
        <w:rPr/>
        <w:t xml:space="preserve">体细胞胚胎发生的调控机制和影响因素
</w:t>
      </w:r>
    </w:p>
    <w:p>
      <w:pPr>
        <w:spacing w:after="0"/>
        <w:numPr>
          <w:ilvl w:val="0"/>
          <w:numId w:val="2"/>
        </w:numPr>
      </w:pPr>
      <w:r>
        <w:rPr/>
        <w:t xml:space="preserve">miR171与CsSCL2和CsSCL3之间的相互作用和调控关系
</w:t>
      </w:r>
    </w:p>
    <w:p>
      <w:pPr>
        <w:spacing w:after="0"/>
        <w:numPr>
          <w:ilvl w:val="0"/>
          <w:numId w:val="2"/>
        </w:numPr>
      </w:pPr>
      <w:r>
        <w:rPr/>
        <w:t xml:space="preserve">柑橘植物中其他相关基因或途径在体细胞胚胎发生中的作用
</w:t>
      </w:r>
    </w:p>
    <w:p>
      <w:pPr>
        <w:numPr>
          <w:ilvl w:val="0"/>
          <w:numId w:val="2"/>
        </w:numPr>
      </w:pPr>
      <w:r>
        <w:rPr/>
        <w:t xml:space="preserve">文章中可能存在的偏见、宣传内容或片面报道问题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https://www.fullpicture.app/item/215498e9e556e80a79adf755b7915575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7A5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plphys/article/192/4/2838/7173070?login=true" TargetMode="External"/><Relationship Id="rId8" Type="http://schemas.openxmlformats.org/officeDocument/2006/relationships/hyperlink" Target="https://www.fullpicture.app/item/215498e9e556e80a79adf755b79155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2023-12-16T15:01:03+01:00</dcterms:created>
  <dcterms:modified xsi:type="dcterms:W3CDTF">2023-12-16T15:01:03+01:00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