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Bank Crash? My Income Is Still Growing | Seeking Alpha</w:t>
      </w:r>
      <w:br/>
      <w:hyperlink r:id="rId7" w:history="1">
        <w:r>
          <w:rPr>
            <w:color w:val="2980b9"/>
            <w:u w:val="single"/>
          </w:rPr>
          <w:t xml:space="preserve">https://seekingalpha.com/article/4588740-bank-crash-my-income-is-still-growing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Finanční zprávy nedávno upozornily na možný kolaps Silicon Valley Bank (SVB), což vyvolalo obavy a paniku na trhu. SVB patří mezi 20 největších bank v USA, ale má více než 80 % nezajištěných vkladů, což znamená, že má vyšší koncentraci ultra-vysokých účtů namísto rozmanitějšího portfolia.</w:t>
      </w:r>
    </w:p>
    <w:p>
      <w:pPr>
        <w:jc w:val="both"/>
      </w:pPr>
      <w:r>
        <w:rPr/>
        <w:t xml:space="preserve">2. Business Development Companies (BDCs) se prodaly v reakci na selhání SVB, ale BDCs nejsou banky a nemají problém s likviditou jako banky. BDCs získávají svůj kapitál ze dvou zdrojů: dluhu a běžného kapitálu.</w:t>
      </w:r>
    </w:p>
    <w:p>
      <w:pPr>
        <w:jc w:val="both"/>
      </w:pPr>
      <w:r>
        <w:rPr/>
        <w:t xml:space="preserve">3. Ares Capital Corp. (ARCC) a TriplePoint Venture Growth (TPVG) jsou dvě společnosti, které byly ovlivněny selháním SVB, ale mají dobře řízené dluhové závazky a dostatek likvidity pro překonání krize. ARCC je BDC s výnosem 11 % a TPVG s výnosem 14 % se specializuje na poskytování půjček společnostem ve fázi růstu.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potenciální kolaps banky Silicon Valley Bank a jeho dopad na investory. Autor tvrdí, že i když je situace obecně znepokojivá, existuje zabezpečení pro vklady a investoři by neměli panikařit. Namísto toho by měli využít slevy na cenných papírech a zvýšit své výnosy.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Nicméně, článek má několik nedostatků. Za prvé, autor se nezmiňuje o možných rizicích spojených s investováním do bankovních akcií v době krize. Zatímco FDIC poskytuje určité zabezpečení pro vklady, pokud banka selže, akcie mohou stále klesnout a investor může utrpět ztrátu.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druhé, autor zdůrazňuje důležitost diverzifikace portfolia pomocí "pravidla 42", což znamená držet minimálně 42 jedinečných pozic. Nicméně, toto pravidlo není univerzálním řešením pro každého investora a může být přehnané pro některé strategie.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třetí, autor prezentuje dvě konkrétní akcie (ARCC a TPVG) jako dobré nákupy po slevách kvůli situaci kolem Silicon Valley Bank. Nicméně, autor neposkytuje dostatečné důkazy nebo analýzy pro tyto tvrzení a zdá se být propagací těchto konkrétních společností.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má tendenci podceňovat rizika spojená s investováním do bankovních akcií v dobách krize a propagovat konkrétní společnosti bez dostatečné analýzy. Investoři by si proto měli být vědomi možných předsudků autora a provést svou vlastní analýzu před rozhodnutím o investici.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Rizika spojená s investováním do bankovních akcií v době krize
</w:t>
      </w:r>
    </w:p>
    <w:p>
      <w:pPr>
        <w:spacing w:after="0"/>
        <w:numPr>
          <w:ilvl w:val="0"/>
          <w:numId w:val="2"/>
        </w:numPr>
      </w:pPr>
      <w:r>
        <w:rPr/>
        <w:t xml:space="preserve">Diverzifikace portfolia a její význam pro investory
</w:t>
      </w:r>
    </w:p>
    <w:p>
      <w:pPr>
        <w:spacing w:after="0"/>
        <w:numPr>
          <w:ilvl w:val="0"/>
          <w:numId w:val="2"/>
        </w:numPr>
      </w:pPr>
      <w:r>
        <w:rPr/>
        <w:t xml:space="preserve">Zabezpečení vkladů a jeho omezení v případě selhání banky
</w:t>
      </w:r>
    </w:p>
    <w:p>
      <w:pPr>
        <w:spacing w:after="0"/>
        <w:numPr>
          <w:ilvl w:val="0"/>
          <w:numId w:val="2"/>
        </w:numPr>
      </w:pPr>
      <w:r>
        <w:rPr/>
        <w:t xml:space="preserve">Analýza konkrétních společností a jejich potenciál pro investory
</w:t>
      </w:r>
    </w:p>
    <w:p>
      <w:pPr>
        <w:spacing w:after="0"/>
        <w:numPr>
          <w:ilvl w:val="0"/>
          <w:numId w:val="2"/>
        </w:numPr>
      </w:pPr>
      <w:r>
        <w:rPr/>
        <w:t xml:space="preserve">Vliv ekonomických cyklů na bankovní sektor a investice
</w:t>
      </w:r>
    </w:p>
    <w:p>
      <w:pPr>
        <w:numPr>
          <w:ilvl w:val="0"/>
          <w:numId w:val="2"/>
        </w:numPr>
      </w:pPr>
      <w:r>
        <w:rPr/>
        <w:t xml:space="preserve">Strategie pro minimalizaci rizik a maximalizaci výnosů v bankovním sektoru.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https://www.fullpicture.app/item/2160d23b10ad0ec2ddaaea9b7cebd516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A016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ekingalpha.com/article/4588740-bank-crash-my-income-is-still-growing" TargetMode="External"/><Relationship Id="rId8" Type="http://schemas.openxmlformats.org/officeDocument/2006/relationships/hyperlink" Target="https://www.fullpicture.app/item/2160d23b10ad0ec2ddaaea9b7cebd51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2024-06-29T23:15:37+02:00</dcterms:created>
  <dcterms:modified xsi:type="dcterms:W3CDTF">2024-06-29T23:15:37+02:00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