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Hate speech versus freedom of speech | United Nations</w:t>
      </w:r>
      <w:br/>
      <w:hyperlink r:id="rId7" w:history="1">
        <w:r>
          <w:rPr>
            <w:color w:val="2980b9"/>
            <w:u w:val="single"/>
          </w:rPr>
          <w:t xml:space="preserve">https://www.un.org/en/hate-speech/understanding-hate-speech/hate-speech-versus-freedom-of-speech</w:t>
        </w:r>
      </w:hyperlink>
    </w:p>
    <w:p>
      <w:pPr>
        <w:pStyle w:val="Heading1"/>
      </w:pPr>
      <w:bookmarkStart w:id="2" w:name="_Toc2"/>
      <w:r>
        <w:t>Article summary:</w:t>
      </w:r>
      <w:bookmarkEnd w:id="2"/>
    </w:p>
    <w:p>
      <w:pPr>
        <w:jc w:val="both"/>
      </w:pPr>
      <w:r>
        <w:rPr/>
        <w:t xml:space="preserve">1. Freedom of expression is a fundamental human right that supports other rights and should be preserved, even in the face of efforts to regulate hate speech.</w:t>
      </w:r>
    </w:p>
    <w:p>
      <w:pPr>
        <w:jc w:val="both"/>
      </w:pPr>
      <w:r>
        <w:rPr/>
        <w:t xml:space="preserve">2. The United Nations promotes positive speech and upholds respect for freedom of expression as the norm, with restrictions on speech being exceptions that aim to prevent harm and ensure equality.</w:t>
      </w:r>
    </w:p>
    <w:p>
      <w:pPr>
        <w:jc w:val="both"/>
      </w:pPr>
      <w:r>
        <w:rPr/>
        <w:t xml:space="preserve">3. The UN Rabat Plan of Action provides guidance to states on distinguishing between freedom of expression and "incitement" to discrimination, hostility, and violence, which is prohibited under criminal law. States can also use education and counter-messages to address hateful expression both online and offline.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"Hate speech versus freedom of speech" from the United Nations presents a discussion on the balance between regulating hate speech and preserving freedom of expression. While the article touches on important aspects of this debate, it also exhibits potential biases, one-sided reporting, unsupported claims, missing points of consideration, and unexplored counterarguments.</w:t>
      </w:r>
    </w:p>
    <w:p>
      <w:pPr>
        <w:jc w:val="both"/>
      </w:pPr>
      <w:r>
        <w:rPr/>
        <w:t xml:space="preserve"/>
      </w:r>
    </w:p>
    <w:p>
      <w:pPr>
        <w:jc w:val="both"/>
      </w:pPr>
      <w:r>
        <w:rPr/>
        <w:t xml:space="preserve">One potential bias in the article is its emphasis on the need to preserve freedom of expression and its portrayal of efforts to regulate hate speech as potentially silencing dissent and opposition. The article states that legislative efforts to regulate free expression raise concerns that they may curb freedom of speech. However, it does not adequately address the harms caused by hate speech or consider the impact it can have on marginalized communities. This bias suggests a prioritization of individual freedoms over protecting vulnerable groups from harm.</w:t>
      </w:r>
    </w:p>
    <w:p>
      <w:pPr>
        <w:jc w:val="both"/>
      </w:pPr>
      <w:r>
        <w:rPr/>
        <w:t xml:space="preserve"/>
      </w:r>
    </w:p>
    <w:p>
      <w:pPr>
        <w:jc w:val="both"/>
      </w:pPr>
      <w:r>
        <w:rPr/>
        <w:t xml:space="preserve">Furthermore, the article lacks evidence for its claim that promoting counter-messages and education can effectively address hateful expression both online and offline. While these strategies may be valuable tools in combating hate speech, their effectiveness is not supported by concrete evidence or examples. Without such evidence, the article's argument remains speculative and lacks credibility.</w:t>
      </w:r>
    </w:p>
    <w:p>
      <w:pPr>
        <w:jc w:val="both"/>
      </w:pPr>
      <w:r>
        <w:rPr/>
        <w:t xml:space="preserve"/>
      </w:r>
    </w:p>
    <w:p>
      <w:pPr>
        <w:jc w:val="both"/>
      </w:pPr>
      <w:r>
        <w:rPr/>
        <w:t xml:space="preserve">The article also fails to explore counterarguments or alternative perspectives on regulating hate speech. It does not acknowledge that there are valid concerns about allowing unfettered hate speech, such as incitement to violence or discrimination against certain groups. By neglecting these counterarguments, the article presents a one-sided view that leans heavily towards protecting freedom of expression without fully considering its potential consequences.</w:t>
      </w:r>
    </w:p>
    <w:p>
      <w:pPr>
        <w:jc w:val="both"/>
      </w:pPr>
      <w:r>
        <w:rPr/>
        <w:t xml:space="preserve"/>
      </w:r>
    </w:p>
    <w:p>
      <w:pPr>
        <w:jc w:val="both"/>
      </w:pPr>
      <w:r>
        <w:rPr/>
        <w:t xml:space="preserve">Additionally, the article does not sufficiently address how hate speech can undermine social cohesion and democratic values. It briefly mentions that restrictions on free expression should seek to prevent harm and ensure equality but does not delve into specific examples or provide a comprehensive analysis of these issues. This omission weakens the overall argument presented in the article.</w:t>
      </w:r>
    </w:p>
    <w:p>
      <w:pPr>
        <w:jc w:val="both"/>
      </w:pPr>
      <w:r>
        <w:rPr/>
        <w:t xml:space="preserve"/>
      </w:r>
    </w:p>
    <w:p>
      <w:pPr>
        <w:jc w:val="both"/>
      </w:pPr>
      <w:r>
        <w:rPr/>
        <w:t xml:space="preserve">Moreover, while discussing international human rights law provisions and the UN Rabat Plan of Action as guidance for distinguishing between freedom of expression and incitement, the article does not provide a critical analysis of these frameworks. It does not explore potential limitations or challenges in applying these guidelines, which could have provided a more nuanced understanding of the topic.</w:t>
      </w:r>
    </w:p>
    <w:p>
      <w:pPr>
        <w:jc w:val="both"/>
      </w:pPr>
      <w:r>
        <w:rPr/>
        <w:t xml:space="preserve"/>
      </w:r>
    </w:p>
    <w:p>
      <w:pPr>
        <w:jc w:val="both"/>
      </w:pPr>
      <w:r>
        <w:rPr/>
        <w:t xml:space="preserve">In terms of promotional content, the article promotes the United Nations' support for more positive speech and its commitment to upholding freedom of expression as the norm. While this is an important perspective to consider, it would have been beneficial to include alternative viewpoints or potential risks associated with unrestricted hate speech.</w:t>
      </w:r>
    </w:p>
    <w:p>
      <w:pPr>
        <w:jc w:val="both"/>
      </w:pPr>
      <w:r>
        <w:rPr/>
        <w:t xml:space="preserve"/>
      </w:r>
    </w:p>
    <w:p>
      <w:pPr>
        <w:jc w:val="both"/>
      </w:pPr>
      <w:r>
        <w:rPr/>
        <w:t xml:space="preserve">Overall, the article's potential biases, one-sided reporting, unsupported claims, missing points of consideration, unexplored counterarguments, and lack of evidence for its claims undermine its credibility and limit its ability to provide a comprehensive analysis of the topic. A more balanced approach that considers both the importance of freedom of expression and the harms caused by hate speech would have strengthened the article's argument.</w:t>
      </w:r>
    </w:p>
    <w:p>
      <w:pPr>
        <w:pStyle w:val="Heading1"/>
      </w:pPr>
      <w:bookmarkStart w:id="5" w:name="_Toc5"/>
      <w:r>
        <w:t>Topics for further research:</w:t>
      </w:r>
      <w:bookmarkEnd w:id="5"/>
    </w:p>
    <w:p>
      <w:pPr>
        <w:spacing w:after="0"/>
        <w:numPr>
          <w:ilvl w:val="0"/>
          <w:numId w:val="2"/>
        </w:numPr>
      </w:pPr>
      <w:r>
        <w:rPr/>
        <w:t xml:space="preserve">Impact of hate speech on marginalized communities
</w:t>
      </w:r>
    </w:p>
    <w:p>
      <w:pPr>
        <w:spacing w:after="0"/>
        <w:numPr>
          <w:ilvl w:val="0"/>
          <w:numId w:val="2"/>
        </w:numPr>
      </w:pPr>
      <w:r>
        <w:rPr/>
        <w:t xml:space="preserve">Consequences of unfettered hate speech on social cohesion and democratic values
</w:t>
      </w:r>
    </w:p>
    <w:p>
      <w:pPr>
        <w:spacing w:after="0"/>
        <w:numPr>
          <w:ilvl w:val="0"/>
          <w:numId w:val="2"/>
        </w:numPr>
      </w:pPr>
      <w:r>
        <w:rPr/>
        <w:t xml:space="preserve">Valid concerns about allowing hate speech</w:t>
      </w:r>
    </w:p>
    <w:p>
      <w:pPr>
        <w:spacing w:after="0"/>
        <w:numPr>
          <w:ilvl w:val="0"/>
          <w:numId w:val="2"/>
        </w:numPr>
      </w:pPr>
      <w:r>
        <w:rPr/>
        <w:t xml:space="preserve">such as incitement to violence or discrimination
</w:t>
      </w:r>
    </w:p>
    <w:p>
      <w:pPr>
        <w:spacing w:after="0"/>
        <w:numPr>
          <w:ilvl w:val="0"/>
          <w:numId w:val="2"/>
        </w:numPr>
      </w:pPr>
      <w:r>
        <w:rPr/>
        <w:t xml:space="preserve">Critique of international human rights law provisions and the UN Rabat Plan of Action
</w:t>
      </w:r>
    </w:p>
    <w:p>
      <w:pPr>
        <w:spacing w:after="0"/>
        <w:numPr>
          <w:ilvl w:val="0"/>
          <w:numId w:val="2"/>
        </w:numPr>
      </w:pPr>
      <w:r>
        <w:rPr/>
        <w:t xml:space="preserve">Risks associated with unrestricted hate speech
</w:t>
      </w:r>
    </w:p>
    <w:p>
      <w:pPr>
        <w:numPr>
          <w:ilvl w:val="0"/>
          <w:numId w:val="2"/>
        </w:numPr>
      </w:pPr>
      <w:r>
        <w:rPr/>
        <w:t xml:space="preserve">Examples of effective strategies to combat hate speech both online and offline</w:t>
      </w:r>
    </w:p>
    <w:p>
      <w:pPr>
        <w:pStyle w:val="Heading1"/>
      </w:pPr>
      <w:bookmarkStart w:id="6" w:name="_Toc6"/>
      <w:r>
        <w:t>Report location:</w:t>
      </w:r>
      <w:bookmarkEnd w:id="6"/>
    </w:p>
    <w:p>
      <w:hyperlink r:id="rId8" w:history="1">
        <w:r>
          <w:rPr>
            <w:color w:val="2980b9"/>
            <w:u w:val="single"/>
          </w:rPr>
          <w:t xml:space="preserve">https://www.fullpicture.app/item/21669b032f0cd6f997736f65f65da534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6C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org/en/hate-speech/understanding-hate-speech/hate-speech-versus-freedom-of-speech" TargetMode="External"/><Relationship Id="rId8" Type="http://schemas.openxmlformats.org/officeDocument/2006/relationships/hyperlink" Target="https://www.fullpicture.app/item/21669b032f0cd6f997736f65f65da5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2024-01-22T02:50:58+01:00</dcterms:created>
  <dcterms:modified xsi:type="dcterms:W3CDTF">2024-01-22T02:50:58+01:00</dcterms:modified>
</cp:coreProperties>
</file>

<file path=docProps/custom.xml><?xml version="1.0" encoding="utf-8"?>
<Properties xmlns="http://schemas.openxmlformats.org/officeDocument/2006/custom-properties" xmlns:vt="http://schemas.openxmlformats.org/officeDocument/2006/docPropsVTypes"/>
</file>