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Cancers | Free Full-Text | The Role of Senescent Cells in Acquired Drug Resistance and Secondary Cancer in BRAFi-Treated Melanoma</w:t>
      </w:r>
      <w:br/>
      <w:hyperlink r:id="rId7" w:history="1">
        <w:r>
          <w:rPr>
            <w:color w:val="2980b9"/>
            <w:u w:val="single"/>
          </w:rPr>
          <w:t xml:space="preserve">https://www.mdpi.com/2072-6694/13/9/2241</w:t>
        </w:r>
      </w:hyperlink>
    </w:p>
    <w:p>
      <w:pPr>
        <w:pStyle w:val="Heading1"/>
      </w:pPr>
      <w:bookmarkStart w:id="2" w:name="_Toc2"/>
      <w:r>
        <w:t>Article summary:</w:t>
      </w:r>
      <w:bookmarkEnd w:id="2"/>
    </w:p>
    <w:p>
      <w:pPr>
        <w:jc w:val="both"/>
      </w:pPr>
      <w:r>
        <w:rPr/>
        <w:t xml:space="preserve">1. BRAF is the most common gene mutated in malignant melanoma, and its mutation results in constitutive activation of the MAPK pro-survival pathway.</w:t>
      </w:r>
    </w:p>
    <w:p>
      <w:pPr>
        <w:jc w:val="both"/>
      </w:pPr>
      <w:r>
        <w:rPr/>
        <w:t xml:space="preserve">2. BRAFi therapies have been developed to specifically inhibit BRAFV600 mutations, but resistance and secondary cancer often occur due to upregulation of pro-survival pathways that circumvent senescence.</w:t>
      </w:r>
    </w:p>
    <w:p>
      <w:pPr>
        <w:jc w:val="both"/>
      </w:pPr>
      <w:r>
        <w:rPr/>
        <w:t xml:space="preserve">3. Senotherapeutics may offer a novel approach for potentially improving clinical outcome by targeting senescent cells as an adjuvant therapy in combating melanoma.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Role of Senescent Cells in Acquired Drug Resistance and Secondary Cancer in BRAFi-Treated Melanoma” provides a comprehensive overview of the role of senescent cells in acquired drug resistance and secondary cancer development in patients treated with BRAFi therapies for malignant melanoma. The article is well written and provides a thorough review of the relevant literature on this topic, including information on BRAF mutations, genetic mechanisms of BRAFi resistance, evidence supporting the role of senescent cells in melanoma progression, drug resistance and secondary cancer development, as well as potential benefits from targeting senescent cells with senotherapeutics as an adjuvant therapy for treating melanoma. </w:t>
      </w:r>
    </w:p>
    <w:p>
      <w:pPr>
        <w:jc w:val="both"/>
      </w:pPr>
      <w:r>
        <w:rPr/>
        <w:t xml:space="preserve">The article appears to be unbiased and presents both sides equally; however, it does not explore any counterarguments or possible risks associated with using senotherapeutics as an adjuvant therapy for treating melanoma. Additionally, there is no mention of any potential conflicts of interest or promotional content within the article which could be seen as a limitation. Furthermore, while the article does provide evidence to support its claims regarding the role of senescent cells in acquired drug resistance and secondary cancer development, it does not provide any evidence to refute these claims or explore other possible explanations for these phenomena. </w:t>
      </w:r>
    </w:p>
    <w:p>
      <w:pPr>
        <w:jc w:val="both"/>
      </w:pPr>
      <w:r>
        <w:rPr/>
        <w:t xml:space="preserve">In conclusion, this article provides a comprehensive overview on the role of senescent cells in acquired drug resistance and secondary cancer development in patients treated with BRAFi therapies for malignant melanoma; however, it lacks exploration into counterarguments or possible risks associated with using senotherapeutics as an adjuvant therapy for treating melanoma as well as evidence refuting its claims or exploring other possible explanations for these phenomena.</w:t>
      </w:r>
    </w:p>
    <w:p>
      <w:pPr>
        <w:pStyle w:val="Heading1"/>
      </w:pPr>
      <w:bookmarkStart w:id="5" w:name="_Toc5"/>
      <w:r>
        <w:t>Topics for further research:</w:t>
      </w:r>
      <w:bookmarkEnd w:id="5"/>
    </w:p>
    <w:p>
      <w:pPr>
        <w:spacing w:after="0"/>
        <w:numPr>
          <w:ilvl w:val="0"/>
          <w:numId w:val="2"/>
        </w:numPr>
      </w:pPr>
      <w:r>
        <w:rPr/>
        <w:t xml:space="preserve">BRAF mutation mechanisms</w:t>
      </w:r>
    </w:p>
    <w:p>
      <w:pPr>
        <w:spacing w:after="0"/>
        <w:numPr>
          <w:ilvl w:val="0"/>
          <w:numId w:val="2"/>
        </w:numPr>
      </w:pPr>
      <w:r>
        <w:rPr/>
        <w:t xml:space="preserve">Senotherapeutic risks</w:t>
      </w:r>
    </w:p>
    <w:p>
      <w:pPr>
        <w:spacing w:after="0"/>
        <w:numPr>
          <w:ilvl w:val="0"/>
          <w:numId w:val="2"/>
        </w:numPr>
      </w:pPr>
      <w:r>
        <w:rPr/>
        <w:t xml:space="preserve">Adjuvant therapy for melanoma</w:t>
      </w:r>
    </w:p>
    <w:p>
      <w:pPr>
        <w:spacing w:after="0"/>
        <w:numPr>
          <w:ilvl w:val="0"/>
          <w:numId w:val="2"/>
        </w:numPr>
      </w:pPr>
      <w:r>
        <w:rPr/>
        <w:t xml:space="preserve">Secondary cancer development</w:t>
      </w:r>
    </w:p>
    <w:p>
      <w:pPr>
        <w:spacing w:after="0"/>
        <w:numPr>
          <w:ilvl w:val="0"/>
          <w:numId w:val="2"/>
        </w:numPr>
      </w:pPr>
      <w:r>
        <w:rPr/>
        <w:t xml:space="preserve">Drug resistance mechanisms</w:t>
      </w:r>
    </w:p>
    <w:p>
      <w:pPr>
        <w:numPr>
          <w:ilvl w:val="0"/>
          <w:numId w:val="2"/>
        </w:numPr>
      </w:pPr>
      <w:r>
        <w:rPr/>
        <w:t xml:space="preserve">Alternative explanations for acquired drug resistance</w:t>
      </w:r>
    </w:p>
    <w:p>
      <w:pPr>
        <w:pStyle w:val="Heading1"/>
      </w:pPr>
      <w:bookmarkStart w:id="6" w:name="_Toc6"/>
      <w:r>
        <w:t>Report location:</w:t>
      </w:r>
      <w:bookmarkEnd w:id="6"/>
    </w:p>
    <w:p>
      <w:hyperlink r:id="rId8" w:history="1">
        <w:r>
          <w:rPr>
            <w:color w:val="2980b9"/>
            <w:u w:val="single"/>
          </w:rPr>
          <w:t xml:space="preserve">https://www.fullpicture.app/item/218044c7d25400800910b84f438fb728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3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3/9/2241" TargetMode="External"/><Relationship Id="rId8" Type="http://schemas.openxmlformats.org/officeDocument/2006/relationships/hyperlink" Target="https://www.fullpicture.app/item/218044c7d25400800910b84f438fb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2023-02-26T19:56:15+01:00</dcterms:created>
  <dcterms:modified xsi:type="dcterms:W3CDTF">2023-02-26T19:56:15+01:00</dcterms:modified>
</cp:coreProperties>
</file>

<file path=docProps/custom.xml><?xml version="1.0" encoding="utf-8"?>
<Properties xmlns="http://schemas.openxmlformats.org/officeDocument/2006/custom-properties" xmlns:vt="http://schemas.openxmlformats.org/officeDocument/2006/docPropsVTypes"/>
</file>