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Economic policy uncertainty and momentum - Gu - 2021 - Financial Management - Wiley Online Library</w:t>
      </w:r>
      <w:br/>
      <w:hyperlink r:id="rId7" w:history="1">
        <w:r>
          <w:rPr>
            <w:color w:val="2980b9"/>
            <w:u w:val="single"/>
          </w:rPr>
          <w:t xml:space="preserve">https://vpn.jlu.edu.cn/https/6a6c7576706e6973746865676f6f64215eb2078da48ec7aa24892c91eb171d3527b125a8f6b033/doi/10.1111/fima.12322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Momentum is a well-known anomaly in finance literature, where stocks with high returns over a period of time tend to have high abnormal average returns over the subsequent period.</w:t>
      </w:r>
    </w:p>
    <w:p>
      <w:pPr>
        <w:jc w:val="both"/>
      </w:pPr>
      <w:r>
        <w:rPr/>
        <w:t xml:space="preserve">2. The existing literature has identified various state-of-economy variables that affect momentum, including business cycles, past market returns, investor sentiment, market volatility, market illiquidity, and return dispersion.</w:t>
      </w:r>
    </w:p>
    <w:p>
      <w:pPr>
        <w:jc w:val="both"/>
      </w:pPr>
      <w:r>
        <w:rPr/>
        <w:t xml:space="preserve">3. Momentum strategies can experience extreme negative returns in panic states.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该文章主要探讨了经济政策不确定性和动量之间的关系。然而，该文章存在一些潜在的偏见和局限性。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首先，该文章没有充分考虑到其他可能影响动量的因素。例如，它没有考虑到公司基本面、行业趋势、市场情绪等因素对动量的影响。这可能导致作者得出的结论不够全面和准确。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其次，该文章提出了一些主张，但缺乏充分的证据来支持这些主张。例如，作者声称经济政策不确定性会影响动量，但并未提供足够的数据或实证研究来支持这一观点。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忽略了动量策略存在风险的事实。尽管动量策略在过去表现良好，但它们也可能遭受重大损失，并且在某些情况下可能会失败。因此，在使用这种策略时需要谨慎，并注意到其中存在的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最后，该文章似乎缺乏平衡报道双方观点的精神。它只关注了动量策略表现良好的事实，并没有探讨任何反对意见或质疑动量策略有效性的观点。这可能导致读者对该主题的理解不够全面和准确。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综上所述，该文章存在一些潜在的偏见和局限性，需要更全面、客观地探讨动量策略及其与经济政策不确定性之间的关系。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momentum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momentum strategies
</w:t>
      </w:r>
    </w:p>
    <w:p>
      <w:pPr>
        <w:spacing w:after="0"/>
        <w:numPr>
          <w:ilvl w:val="0"/>
          <w:numId w:val="2"/>
        </w:numPr>
      </w:pPr>
      <w:r>
        <w:rPr/>
        <w:t xml:space="preserve">Need for balanced reporting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article
</w:t>
      </w:r>
    </w:p>
    <w:p>
      <w:pPr>
        <w:numPr>
          <w:ilvl w:val="0"/>
          <w:numId w:val="2"/>
        </w:numPr>
      </w:pPr>
      <w:r>
        <w:rPr/>
        <w:t xml:space="preserve">Objective exploration of momentum strategies and economic policy uncertainty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https://www.fullpicture.app/item/2363c3e7b1a111c2b3af73c960e51e79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A46F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6a6c7576706e6973746865676f6f64215eb2078da48ec7aa24892c91eb171d3527b125a8f6b033/doi/10.1111/fima.12322" TargetMode="External"/><Relationship Id="rId8" Type="http://schemas.openxmlformats.org/officeDocument/2006/relationships/hyperlink" Target="https://www.fullpicture.app/item/2363c3e7b1a111c2b3af73c960e51e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2023-12-07T13:47:45+01:00</dcterms:created>
  <dcterms:modified xsi:type="dcterms:W3CDTF">2023-12-07T13:47:45+01:00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