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population-based study of precision health assessments using multi-omics network-derived biological functional modules - PMC</w:t>
      </w:r>
      <w:br/>
      <w:hyperlink r:id="rId7" w:history="1">
        <w:r>
          <w:rPr>
            <w:color w:val="2980b9"/>
            <w:u w:val="single"/>
          </w:rPr>
          <w:t xml:space="preserve">https://www.ncbi.nlm.nih.gov/pmc/articles/PMC9798030/</w:t>
        </w:r>
      </w:hyperlink>
    </w:p>
    <w:p>
      <w:pPr>
        <w:pStyle w:val="Heading1"/>
      </w:pPr>
      <w:bookmarkStart w:id="2" w:name="_Toc2"/>
      <w:r>
        <w:t>Article summary:</w:t>
      </w:r>
      <w:bookmarkEnd w:id="2"/>
    </w:p>
    <w:p>
      <w:pPr>
        <w:jc w:val="both"/>
      </w:pPr>
      <w:r>
        <w:rPr/>
        <w:t xml:space="preserve">1. This study collected multi-omics data from 4,277 individuals to develop precision health assessments.</w:t>
      </w:r>
    </w:p>
    <w:p>
      <w:pPr>
        <w:jc w:val="both"/>
      </w:pPr>
      <w:r>
        <w:rPr/>
        <w:t xml:space="preserve">2. The data was used to generate 11 biological functional modules (BFMs) in males and 12 BFMs in females using a community detection algorithm.</w:t>
      </w:r>
    </w:p>
    <w:p>
      <w:pPr>
        <w:jc w:val="both"/>
      </w:pPr>
      <w:r>
        <w:rPr/>
        <w:t xml:space="preserve">3. A model was developed by comparing individual data with the health baseline in BFMs to assess health status (BFM-ash).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for collecting and analyzing the multi-omics data, as well as the results of the analysis. The authors also provide evidence for their claims, such as citing previous studies that have used similar methods and providing examples of how their model can be applied to assess health status. Furthermore, they discuss potential applications of their findings in precision health assessment. </w:t>
      </w:r>
    </w:p>
    <w:p>
      <w:pPr>
        <w:jc w:val="both"/>
      </w:pPr>
      <w:r>
        <w:rPr/>
        <w:t xml:space="preserve">However, there are some potential biases that should be noted. For example, the sample size of 4,277 individuals may not be large enough to accurately represent all populations or draw generalizable conclusions about human health and disease. Additionally, the article does not explore any counterarguments or alternative perspectives on its findings or implications for precision health assessment. Finally, while the authors discuss potential applications of their findings in precision health assessment, they do not mention any possible risks associated with such applications.</w:t>
      </w:r>
    </w:p>
    <w:p>
      <w:pPr>
        <w:pStyle w:val="Heading1"/>
      </w:pPr>
      <w:bookmarkStart w:id="5" w:name="_Toc5"/>
      <w:r>
        <w:t>Topics for further research:</w:t>
      </w:r>
      <w:bookmarkEnd w:id="5"/>
    </w:p>
    <w:p>
      <w:pPr>
        <w:spacing w:after="0"/>
        <w:numPr>
          <w:ilvl w:val="0"/>
          <w:numId w:val="2"/>
        </w:numPr>
      </w:pPr>
      <w:r>
        <w:rPr/>
        <w:t xml:space="preserve">Precision health assessment risks</w:t>
      </w:r>
    </w:p>
    <w:p>
      <w:pPr>
        <w:spacing w:after="0"/>
        <w:numPr>
          <w:ilvl w:val="0"/>
          <w:numId w:val="2"/>
        </w:numPr>
      </w:pPr>
      <w:r>
        <w:rPr/>
        <w:t xml:space="preserve">Multi-omics data analysis methods</w:t>
      </w:r>
    </w:p>
    <w:p>
      <w:pPr>
        <w:spacing w:after="0"/>
        <w:numPr>
          <w:ilvl w:val="0"/>
          <w:numId w:val="2"/>
        </w:numPr>
      </w:pPr>
      <w:r>
        <w:rPr/>
        <w:t xml:space="preserve">Sample size implications for health research</w:t>
      </w:r>
    </w:p>
    <w:p>
      <w:pPr>
        <w:spacing w:after="0"/>
        <w:numPr>
          <w:ilvl w:val="0"/>
          <w:numId w:val="2"/>
        </w:numPr>
      </w:pPr>
      <w:r>
        <w:rPr/>
        <w:t xml:space="preserve">Precision health assessment applications</w:t>
      </w:r>
    </w:p>
    <w:p>
      <w:pPr>
        <w:spacing w:after="0"/>
        <w:numPr>
          <w:ilvl w:val="0"/>
          <w:numId w:val="2"/>
        </w:numPr>
      </w:pPr>
      <w:r>
        <w:rPr/>
        <w:t xml:space="preserve">Counterarguments to multi-omics data analysis</w:t>
      </w:r>
    </w:p>
    <w:p>
      <w:pPr>
        <w:numPr>
          <w:ilvl w:val="0"/>
          <w:numId w:val="2"/>
        </w:numPr>
      </w:pPr>
      <w:r>
        <w:rPr/>
        <w:t xml:space="preserve">Alternative perspectives on precision health assessment</w:t>
      </w:r>
    </w:p>
    <w:p>
      <w:pPr>
        <w:pStyle w:val="Heading1"/>
      </w:pPr>
      <w:bookmarkStart w:id="6" w:name="_Toc6"/>
      <w:r>
        <w:t>Report location:</w:t>
      </w:r>
      <w:bookmarkEnd w:id="6"/>
    </w:p>
    <w:p>
      <w:hyperlink r:id="rId8" w:history="1">
        <w:r>
          <w:rPr>
            <w:color w:val="2980b9"/>
            <w:u w:val="single"/>
          </w:rPr>
          <w:t xml:space="preserve">https://www.fullpicture.app/item/2365407d0d833ac1123766dd56826eaa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8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98030/" TargetMode="External"/><Relationship Id="rId8" Type="http://schemas.openxmlformats.org/officeDocument/2006/relationships/hyperlink" Target="https://www.fullpicture.app/item/2365407d0d833ac1123766dd56826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2023-02-28T02:02:18+01:00</dcterms:created>
  <dcterms:modified xsi:type="dcterms:W3CDTF">2023-02-28T02:02:18+01:00</dcterms:modified>
</cp:coreProperties>
</file>

<file path=docProps/custom.xml><?xml version="1.0" encoding="utf-8"?>
<Properties xmlns="http://schemas.openxmlformats.org/officeDocument/2006/custom-properties" xmlns:vt="http://schemas.openxmlformats.org/officeDocument/2006/docPropsVTypes"/>
</file>