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Empirical Analysis of EIP-1559</w:t>
      </w:r>
      <w:br/>
      <w:hyperlink r:id="rId7" w:history="1">
        <w:r>
          <w:rPr>
            <w:color w:val="2980b9"/>
            <w:u w:val="single"/>
          </w:rPr>
          <w:t xml:space="preserve">https://dl.acm.org/doi/epdf/10.1145/3548606.3559341</w:t>
        </w:r>
      </w:hyperlink>
    </w:p>
    <w:p>
      <w:pPr>
        <w:pStyle w:val="Heading1"/>
      </w:pPr>
      <w:bookmarkStart w:id="2" w:name="_Toc2"/>
      <w:r>
        <w:t>Article summary:</w:t>
      </w:r>
      <w:bookmarkEnd w:id="2"/>
    </w:p>
    <w:p>
      <w:pPr>
        <w:jc w:val="both"/>
      </w:pPr>
      <w:r>
        <w:rPr/>
        <w:t xml:space="preserve">1. This article provides an empirical analysis of EIP-1559, a transaction fee mechanism deployed on the Ethereum blockchain.</w:t>
      </w:r>
    </w:p>
    <w:p>
      <w:pPr>
        <w:jc w:val="both"/>
      </w:pPr>
      <w:r>
        <w:rPr/>
        <w:t xml:space="preserve">2. The authors examine the causal effect of EIP-1559 on transaction fees, waiting times, and consensus security.</w:t>
      </w:r>
    </w:p>
    <w:p>
      <w:pPr>
        <w:jc w:val="both"/>
      </w:pPr>
      <w:r>
        <w:rPr/>
        <w:t xml:space="preserve">3. Results show that EIP-1559 improves user experience by mitigating intrablock differences in gas prices and reducing users’ waiting times, but has only a small effect on gas fee levels and consensus security.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“Empirical Analysis of EIP-1559: Transaction Fees, Waiting Times, and Consensus Security” is a comprehensive study of the effects of the Ethereum Improvement Proposal 1559 (EIP-1559) on the Ethereum blockchain. The authors use rich data from the Ethereum blockchain, mempools, and exchanges to conduct a rigorous empirical study to examine its causal effect on blockchain transaction fee dynamics, transaction waiting times, and consensus security. </w:t>
      </w:r>
    </w:p>
    <w:p>
      <w:pPr>
        <w:jc w:val="both"/>
      </w:pPr>
      <w:r>
        <w:rPr/>
        <w:t xml:space="preserve">The article is well written and provides detailed information about the research conducted as well as its results. The authors provide evidence for their claims with data from multiple sources which adds to its trustworthiness. Furthermore, they also discuss potential limitations of their research such as possible biases due to limited data availability or incomplete coverage of certain aspects which shows that they are aware of potential issues with their work. </w:t>
      </w:r>
    </w:p>
    <w:p>
      <w:pPr>
        <w:jc w:val="both"/>
      </w:pPr>
      <w:r>
        <w:rPr/>
        <w:t xml:space="preserve">However, there are some points that could be improved upon in order to make this article more reliable and trustworthy. For example, while the authors do mention potential biases due to limited data availability or incomplete coverage of certain aspects in their research, they do not provide any further details about these issues or how they might have affected their results. Additionally, while they do discuss some counterarguments related to their findings such as Ether’s price volatility affecting waiting time significantly or larger block sizes increasing sibling presence; they do not explore these arguments in depth or present any evidence for them which could add more credibility to their work. </w:t>
      </w:r>
    </w:p>
    <w:p>
      <w:pPr>
        <w:jc w:val="both"/>
      </w:pPr>
      <w:r>
        <w:rPr/>
        <w:t xml:space="preserve">In conclusion, this article provides a comprehensive overview of the effects of EIP-1559 on the Ethereum blockchain with evidence from multiple sources which makes it reliable and trustworthy overall; however there are still some areas where it could be improved upon such as providing more details about potential biases or exploring counterarguments in greater depth with evidence for them in order to make it even more credible.</w:t>
      </w:r>
    </w:p>
    <w:p>
      <w:pPr>
        <w:pStyle w:val="Heading1"/>
      </w:pPr>
      <w:bookmarkStart w:id="5" w:name="_Toc5"/>
      <w:r>
        <w:t>Topics for further research:</w:t>
      </w:r>
      <w:bookmarkEnd w:id="5"/>
    </w:p>
    <w:p>
      <w:pPr>
        <w:spacing w:after="0"/>
        <w:numPr>
          <w:ilvl w:val="0"/>
          <w:numId w:val="2"/>
        </w:numPr>
      </w:pPr>
      <w:r>
        <w:rPr/>
        <w:t xml:space="preserve">Ethereum Improvement Proposal 1559 (EIP-1559)</w:t>
      </w:r>
    </w:p>
    <w:p>
      <w:pPr>
        <w:spacing w:after="0"/>
        <w:numPr>
          <w:ilvl w:val="0"/>
          <w:numId w:val="2"/>
        </w:numPr>
      </w:pPr>
      <w:r>
        <w:rPr/>
        <w:t xml:space="preserve">Ethereum blockchain transaction fee dynamics</w:t>
      </w:r>
    </w:p>
    <w:p>
      <w:pPr>
        <w:spacing w:after="0"/>
        <w:numPr>
          <w:ilvl w:val="0"/>
          <w:numId w:val="2"/>
        </w:numPr>
      </w:pPr>
      <w:r>
        <w:rPr/>
        <w:t xml:space="preserve">Transaction waiting times consensus security</w:t>
      </w:r>
    </w:p>
    <w:p>
      <w:pPr>
        <w:spacing w:after="0"/>
        <w:numPr>
          <w:ilvl w:val="0"/>
          <w:numId w:val="2"/>
        </w:numPr>
      </w:pPr>
      <w:r>
        <w:rPr/>
        <w:t xml:space="preserve">Ether price volatility effects</w:t>
      </w:r>
    </w:p>
    <w:p>
      <w:pPr>
        <w:spacing w:after="0"/>
        <w:numPr>
          <w:ilvl w:val="0"/>
          <w:numId w:val="2"/>
        </w:numPr>
      </w:pPr>
      <w:r>
        <w:rPr/>
        <w:t xml:space="preserve">Impact of larger block sizes</w:t>
      </w:r>
    </w:p>
    <w:p>
      <w:pPr>
        <w:numPr>
          <w:ilvl w:val="0"/>
          <w:numId w:val="2"/>
        </w:numPr>
      </w:pPr>
      <w:r>
        <w:rPr/>
        <w:t xml:space="preserve">Biases due to limited data availability</w:t>
      </w:r>
    </w:p>
    <w:p>
      <w:pPr>
        <w:pStyle w:val="Heading1"/>
      </w:pPr>
      <w:bookmarkStart w:id="6" w:name="_Toc6"/>
      <w:r>
        <w:t>Report location:</w:t>
      </w:r>
      <w:bookmarkEnd w:id="6"/>
    </w:p>
    <w:p>
      <w:hyperlink r:id="rId8" w:history="1">
        <w:r>
          <w:rPr>
            <w:color w:val="2980b9"/>
            <w:u w:val="single"/>
          </w:rPr>
          <w:t xml:space="preserve">https://www.fullpicture.app/item/23c64dcd09b737e8093ad8824ef0eaa1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D2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3548606.3559341" TargetMode="External"/><Relationship Id="rId8" Type="http://schemas.openxmlformats.org/officeDocument/2006/relationships/hyperlink" Target="https://www.fullpicture.app/item/23c64dcd09b737e8093ad8824ef0ea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2023-02-22T23:31:32+01:00</dcterms:created>
  <dcterms:modified xsi:type="dcterms:W3CDTF">2023-02-22T23:31:32+01:00</dcterms:modified>
</cp:coreProperties>
</file>

<file path=docProps/custom.xml><?xml version="1.0" encoding="utf-8"?>
<Properties xmlns="http://schemas.openxmlformats.org/officeDocument/2006/custom-properties" xmlns:vt="http://schemas.openxmlformats.org/officeDocument/2006/docPropsVTypes"/>
</file>