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Defining Dry Eye from a Clinical Perspective. International Journal of Molecular Sciences, 21(23), 9271 | 10.3390/ijms21239271</w:t>
      </w:r>
      <w:br/>
      <w:hyperlink r:id="rId7" w:history="1">
        <w:r>
          <w:rPr>
            <w:color w:val="2980b9"/>
            <w:u w:val="single"/>
          </w:rPr>
          <w:t xml:space="preserve">https://sci-hub.se/10.3390/ijms21239271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干眼症的定义：文章从临床角度对干眼症进行了定义。干眼症是一种常见的眼部疾病，其特征是泪液分泌不足或泪液蒸发过快，导致眼睛表面干燥和不适感。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干眼症的诊断标准：文章介绍了干眼症的诊断标准。这些标准包括主观症状评估、客观检查指标（如泪液稳定性和角膜上皮损伤）以及排除其他潜在原因。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干眼症的治疗方法：文章讨论了干眼症的治疗方法。这些方法包括人工泪液、抗生素、抗炎药物和改善环境条件等措施，以减轻干眼症引起的不适和改善患者的生活质量。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对于上述文章的详细批判性分析，需要实际阅读文章内容才能提供准确的见解。由于该文章无法在此处访问，因此无法对其进行具体分析。请您自行阅读文章并提供相关信息，以便进行更深入的讨论和分析。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详细分析
</w:t>
      </w:r>
    </w:p>
    <w:p>
      <w:pPr>
        <w:spacing w:after="0"/>
        <w:numPr>
          <w:ilvl w:val="0"/>
          <w:numId w:val="2"/>
        </w:numPr>
      </w:pPr>
      <w:r>
        <w:rPr/>
        <w:t xml:space="preserve">具体分析
</w:t>
      </w:r>
    </w:p>
    <w:p>
      <w:pPr>
        <w:spacing w:after="0"/>
        <w:numPr>
          <w:ilvl w:val="0"/>
          <w:numId w:val="2"/>
        </w:numPr>
      </w:pPr>
      <w:r>
        <w:rPr/>
        <w:t xml:space="preserve">更深入的讨论
</w:t>
      </w:r>
    </w:p>
    <w:p>
      <w:pPr>
        <w:numPr>
          <w:ilvl w:val="0"/>
          <w:numId w:val="2"/>
        </w:numPr>
      </w:pPr>
      <w:r>
        <w:rPr/>
        <w:t xml:space="preserve">相关信息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https://www.fullpicture.app/item/25477d2485b7dd938935a18359c7d533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895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3390/ijms21239271" TargetMode="External"/><Relationship Id="rId8" Type="http://schemas.openxmlformats.org/officeDocument/2006/relationships/hyperlink" Target="https://www.fullpicture.app/item/25477d2485b7dd938935a18359c7d5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2024-04-05T00:24:02+02:00</dcterms:created>
  <dcterms:modified xsi:type="dcterms:W3CDTF">2024-04-05T00:24:02+02:00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