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Goldman Sachs Research - Marquee</w:t>
      </w:r>
      <w:br/>
      <w:hyperlink r:id="rId7" w:history="1">
        <w:r>
          <w:rPr>
            <w:color w:val="2980b9"/>
            <w:u w:val="single"/>
          </w:rPr>
          <w:t xml:space="preserve">https://marquee.gs.com/content/research/en/reports/2023/02/13/211970de-943b-4441-912d-4816f6309f34.html</w:t>
        </w:r>
      </w:hyperlink>
    </w:p>
    <w:p>
      <w:pPr>
        <w:pStyle w:val="Heading1"/>
      </w:pPr>
      <w:bookmarkStart w:id="2" w:name="_Toc2"/>
      <w:r>
        <w:t>Article summary:</w:t>
      </w:r>
      <w:bookmarkEnd w:id="2"/>
    </w:p>
    <w:p>
      <w:pPr>
        <w:jc w:val="both"/>
      </w:pPr>
      <w:r>
        <w:rPr/>
        <w:t xml:space="preserve">1. Goldman Sachs Research has shifted to a neutral stance on tactical asset allocation, due to improved macro conditions but potential for setbacks.</w:t>
      </w:r>
    </w:p>
    <w:p>
      <w:pPr>
        <w:jc w:val="both"/>
      </w:pPr>
      <w:r>
        <w:rPr/>
        <w:t xml:space="preserve">2. Risk appetite is high, but further increases in real yields, lingering growth risks and low risk premia could lead to drawdowns.</w:t>
      </w:r>
    </w:p>
    <w:p>
      <w:pPr>
        <w:jc w:val="both"/>
      </w:pPr>
      <w:r>
        <w:rPr/>
        <w:t xml:space="preserve">3. Goldman Sachs recommends investing in cash and money market funds, short duration IG credit pockets, and 1-year TIPS for attractive real yields.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from Goldman Sachs Research provides an overview of their current outlook on tactical asset allocation. The article is generally reliable and trustworthy as it provides evidence for its claims and presents both sides of the argument fairly. However, there are some potential biases that should be noted. </w:t>
      </w:r>
    </w:p>
    <w:p>
      <w:pPr>
        <w:jc w:val="both"/>
      </w:pPr>
      <w:r>
        <w:rPr/>
        <w:t xml:space="preserve">First, the article does not explore any counterarguments or alternative perspectives on the topic. While it does provide evidence for its claims, it does not consider any other points of view that may contradict its own conclusions. Additionally, the article does not mention any possible risks associated with its recommendations or discuss any potential drawbacks of investing in cash or money market funds. </w:t>
      </w:r>
    </w:p>
    <w:p>
      <w:pPr>
        <w:jc w:val="both"/>
      </w:pPr>
      <w:r>
        <w:rPr/>
        <w:t xml:space="preserve">Second, the article is somewhat promotional in nature as it promotes Goldman Sachs’ own products and services without providing an unbiased assessment of them. For example, it mentions “GOAL: Global Opportunity Asset Locator” without providing any information about what this product actually is or how it works. </w:t>
      </w:r>
    </w:p>
    <w:p>
      <w:pPr>
        <w:jc w:val="both"/>
      </w:pPr>
      <w:r>
        <w:rPr/>
        <w:t xml:space="preserve">Finally, the article does not present both sides of the argument equally; instead, it focuses primarily on the positive aspects of investing in cash or money market funds while neglecting to mention any potential drawbacks or risks associated with these investments. This could lead readers to make decisions based on incomplete information which could have negative consequences down the line. </w:t>
      </w:r>
    </w:p>
    <w:p>
      <w:pPr>
        <w:jc w:val="both"/>
      </w:pPr>
      <w:r>
        <w:rPr/>
        <w:t xml:space="preserve">In conclusion, while this article from Goldman Sachs Research is generally reliable and trustworthy overall, there are some potential biases that should be noted when considering its content and recommendations.</w:t>
      </w:r>
    </w:p>
    <w:p>
      <w:pPr>
        <w:pStyle w:val="Heading1"/>
      </w:pPr>
      <w:bookmarkStart w:id="5" w:name="_Toc5"/>
      <w:r>
        <w:t>Topics for further research:</w:t>
      </w:r>
      <w:bookmarkEnd w:id="5"/>
    </w:p>
    <w:p>
      <w:pPr>
        <w:spacing w:after="0"/>
        <w:numPr>
          <w:ilvl w:val="0"/>
          <w:numId w:val="2"/>
        </w:numPr>
      </w:pPr>
      <w:r>
        <w:rPr/>
        <w:t xml:space="preserve">Tactical asset allocation risks</w:t>
      </w:r>
    </w:p>
    <w:p>
      <w:pPr>
        <w:spacing w:after="0"/>
        <w:numPr>
          <w:ilvl w:val="0"/>
          <w:numId w:val="2"/>
        </w:numPr>
      </w:pPr>
      <w:r>
        <w:rPr/>
        <w:t xml:space="preserve">Alternative perspectives on tactical asset allocation</w:t>
      </w:r>
    </w:p>
    <w:p>
      <w:pPr>
        <w:spacing w:after="0"/>
        <w:numPr>
          <w:ilvl w:val="0"/>
          <w:numId w:val="2"/>
        </w:numPr>
      </w:pPr>
      <w:r>
        <w:rPr/>
        <w:t xml:space="preserve">Drawbacks of investing in cash or money market funds</w:t>
      </w:r>
    </w:p>
    <w:p>
      <w:pPr>
        <w:spacing w:after="0"/>
        <w:numPr>
          <w:ilvl w:val="0"/>
          <w:numId w:val="2"/>
        </w:numPr>
      </w:pPr>
      <w:r>
        <w:rPr/>
        <w:t xml:space="preserve">GOAL: Global Opportunity Asset Locator</w:t>
      </w:r>
    </w:p>
    <w:p>
      <w:pPr>
        <w:spacing w:after="0"/>
        <w:numPr>
          <w:ilvl w:val="0"/>
          <w:numId w:val="2"/>
        </w:numPr>
      </w:pPr>
      <w:r>
        <w:rPr/>
        <w:t xml:space="preserve">Negative consequences of tactical asset allocation</w:t>
      </w:r>
    </w:p>
    <w:p>
      <w:pPr>
        <w:numPr>
          <w:ilvl w:val="0"/>
          <w:numId w:val="2"/>
        </w:numPr>
      </w:pPr>
      <w:r>
        <w:rPr/>
        <w:t xml:space="preserve">Unbiased assessment of tactical asset allocation products and services</w:t>
      </w:r>
    </w:p>
    <w:p>
      <w:pPr>
        <w:pStyle w:val="Heading1"/>
      </w:pPr>
      <w:bookmarkStart w:id="6" w:name="_Toc6"/>
      <w:r>
        <w:t>Report location:</w:t>
      </w:r>
      <w:bookmarkEnd w:id="6"/>
    </w:p>
    <w:p>
      <w:hyperlink r:id="rId8" w:history="1">
        <w:r>
          <w:rPr>
            <w:color w:val="2980b9"/>
            <w:u w:val="single"/>
          </w:rPr>
          <w:t xml:space="preserve">https://www.fullpicture.app/item/266d08de2e619c8d8e5210ee716c2213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D36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rquee.gs.com/content/research/en/reports/2023/02/13/211970de-943b-4441-912d-4816f6309f34.html" TargetMode="External"/><Relationship Id="rId8" Type="http://schemas.openxmlformats.org/officeDocument/2006/relationships/hyperlink" Target="https://www.fullpicture.app/item/266d08de2e619c8d8e5210ee716c22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2023-02-24T18:27:44+01:00</dcterms:created>
  <dcterms:modified xsi:type="dcterms:W3CDTF">2023-02-24T18:27:44+01:00</dcterms:modified>
</cp:coreProperties>
</file>

<file path=docProps/custom.xml><?xml version="1.0" encoding="utf-8"?>
<Properties xmlns="http://schemas.openxmlformats.org/officeDocument/2006/custom-properties" xmlns:vt="http://schemas.openxmlformats.org/officeDocument/2006/docPropsVTypes"/>
</file>