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Bilingualism in minority settings in Canada Integration or assimilation.pdf</w:t>
      </w:r>
      <w:br/>
      <w:hyperlink r:id="rId7" w:history="1">
        <w:r>
          <w:rPr>
            <w:color w:val="2980b9"/>
            <w:u w:val="single"/>
          </w:rPr>
          <w:t xml:space="preserve">https://typeset.io/library/zhu-guan-yu-yan-huo-li-can-kao-wen-xian-3-2lu0i5xd/bilingualism-in-minority-settings-in-canada-integration-or-2kxc0sfn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本文探讨了加拿大少数民族语境下双语主义的社会心理学相关因素。</w:t>
      </w:r>
    </w:p>
    <w:p>
      <w:pPr>
        <w:jc w:val="both"/>
      </w:pPr>
      <w:r>
        <w:rPr/>
        <w:t xml:space="preserve">2. 研究发现，语言自信与身份认同之间存在关系，并受到种族语言活力的调节。双语者在身份维持方面与单一语言使用者有显著区别，但在所有法语样本中，双语者最接近以法语为主导的参与者。</w:t>
      </w:r>
    </w:p>
    <w:p>
      <w:pPr>
        <w:jc w:val="both"/>
      </w:pPr>
      <w:r>
        <w:rPr/>
        <w:t xml:space="preserve">3. 文章提出了两种不同的观点：一种认为双语主义是一种融合响应社会环境的方式，而另一种则认为它是一种同化过程。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该文章探讨了加拿大少数民族语境下的双语主义，并试图解释其文化适应后果。然而，该文章存在一些潜在的偏见和局限性。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不同文化之间的差异。它将所有少数民族都视为一个整体，忽略了他们之间的差异。例如，在加拿大，法语和英语是两种主要的官方语言，但其他少数民族也有自己的语言和文化。因此，该研究可能无法完全反映不同群体之间的实际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探讨双语主义对身份认同的影响。尽管作者提到了一些相关研究结果，但他们并没有深入探讨这个问题。例如，在某些情况下，双语主义可能会导致同化或融合；在其他情况下，则可能会促进多元文化共存。然而，在本文中，并没有对这些不同结果进行详细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倾向于支持多元文化共存模式，并未充分考虑到同化模式的可能性。例如，在介绍Lambert（1981）关于减法和加法双语主义的理论时，作者只提到了减法双语主义的可能性，而没有提到加法双语主义。这可能会导致读者对该问题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充分考虑到研究结果的局限性。例如，作者使用了统计数据进行分析，但并未说明这些数据的来源和可靠性。此外，该研究只涉及加拿大境内的少数民族，因此其结论可能不适用于其他国家或地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综上所述，尽管该文章提供了一些有价值的信息和见解，但它也存在一些潜在的偏见和局限性。因此，在阅读和引用该文章时应谨慎，并注意其研究结果的局限性。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diversity among minority groups
</w:t>
      </w:r>
    </w:p>
    <w:p>
      <w:pPr>
        <w:spacing w:after="0"/>
        <w:numPr>
          <w:ilvl w:val="0"/>
          <w:numId w:val="2"/>
        </w:numPr>
      </w:pPr>
      <w:r>
        <w:rPr/>
        <w:t xml:space="preserve">Impact of bilingualism on identity formation
</w:t>
      </w:r>
    </w:p>
    <w:p>
      <w:pPr>
        <w:spacing w:after="0"/>
        <w:numPr>
          <w:ilvl w:val="0"/>
          <w:numId w:val="2"/>
        </w:numPr>
      </w:pPr>
      <w:r>
        <w:rPr/>
        <w:t xml:space="preserve">Possibility of assimilation or multicultural coexistence
</w:t>
      </w:r>
    </w:p>
    <w:p>
      <w:pPr>
        <w:spacing w:after="0"/>
        <w:numPr>
          <w:ilvl w:val="0"/>
          <w:numId w:val="2"/>
        </w:numPr>
      </w:pPr>
      <w:r>
        <w:rPr/>
        <w:t xml:space="preserve">Additive bilingualism as a potential outcome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research findings
</w:t>
      </w:r>
    </w:p>
    <w:p>
      <w:pPr>
        <w:numPr>
          <w:ilvl w:val="0"/>
          <w:numId w:val="2"/>
        </w:numPr>
      </w:pPr>
      <w:r>
        <w:rPr/>
        <w:t xml:space="preserve">Applicability of the conclusions to other countries or regions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https://www.fullpicture.app/item/276553d83411bb2c58c06915b05d5b5b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28A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zhu-guan-yu-yan-huo-li-can-kao-wen-xian-3-2lu0i5xd/bilingualism-in-minority-settings-in-canada-integration-or-2kxc0sfn" TargetMode="External"/><Relationship Id="rId8" Type="http://schemas.openxmlformats.org/officeDocument/2006/relationships/hyperlink" Target="https://www.fullpicture.app/item/276553d83411bb2c58c06915b05d5b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2023-04-06T05:14:56+02:00</dcterms:created>
  <dcterms:modified xsi:type="dcterms:W3CDTF">2023-04-06T05:14:56+02:00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