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Resveratrol attenuates staphylococcal enterotoxin B-activated immune cell metabolism via upregulation of miR-100 and suppression of mTOR signaling pathway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https://www.ncbi.nlm.nih.gov/pmc/articles/PMC9999031/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Resveratrol can prevent mortality in a murine model of ARDS induced by SEB by attenuating inflammation in the lungs.</w:t>
      </w:r>
    </w:p>
    <w:p>
      <w:pPr>
        <w:jc w:val="both"/>
      </w:pPr>
      <w:r>
        <w:rPr/>
        <w:t xml:space="preserve">2. Resveratrol alters the metabolic reprogramming of SEB-activated immune cells through suppression of mTOR activation and its down- and upstream effects on energy metabolism.</w:t>
      </w:r>
    </w:p>
    <w:p>
      <w:pPr>
        <w:jc w:val="both"/>
      </w:pPr>
      <w:r>
        <w:rPr/>
        <w:t xml:space="preserve">3. miR-100 could serve as a novel potential therapeutic molecule in the amelioration of ARDS.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作为一篇研究文章，该文提供了关于Resveratrol对SEB激活的免疫细胞代谢的影响的实验结果。然而，该文章存在一些潜在的偏见和局限性。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首先，该文章没有探讨Resveratrol可能存在的风险和副作用。虽然Resveratrol被认为是一种天然化合物，但其长期使用可能会导致不良反应。此外，该文章没有提及是否进行了动物伦理学审查和批准。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其次，该文章只涉及到了Resveratrol对SEB激活的免疫细胞代谢的影响，并未考虑其他因素对ARDS发展的影响。例如，该文并未探讨其他治疗方法或药物对ARDS的影响。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此外，该文章中提到miR-100可能是ARDS治疗中的一个新型潜在分子。然而，在这个实验中仅仅是通过单个小鼠模型来证明这一点，并没有足够的证据来支持这种主张。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尽管该文提供了有关Resveratrol对SEB激活免疫细胞代谢影响的实验结果，但它并没有平等地呈现双方观点或考虑到其他可能存在的因素。因此，在评估这项研究时需要保持谨慎，并结合其他相关信息进行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Resveratrol risks and side effects
</w:t>
      </w:r>
    </w:p>
    <w:p>
      <w:pPr>
        <w:spacing w:after="0"/>
        <w:numPr>
          <w:ilvl w:val="0"/>
          <w:numId w:val="2"/>
        </w:numPr>
      </w:pPr>
      <w:r>
        <w:rPr/>
        <w:t xml:space="preserve">Animal ethics approval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ARDS development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miR-100 as a potential molecule for ARDS treatment
</w:t>
      </w:r>
    </w:p>
    <w:p>
      <w:pPr>
        <w:spacing w:after="0"/>
        <w:numPr>
          <w:ilvl w:val="0"/>
          <w:numId w:val="2"/>
        </w:numPr>
      </w:pPr>
      <w:r>
        <w:rPr/>
        <w:t xml:space="preserve">Biased presentation of viewpoints
</w:t>
      </w:r>
    </w:p>
    <w:p>
      <w:pPr>
        <w:numPr>
          <w:ilvl w:val="0"/>
          <w:numId w:val="2"/>
        </w:numPr>
      </w:pPr>
      <w:r>
        <w:rPr/>
        <w:t xml:space="preserve">Need for cautious evaluation and consideration of other relevant information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https://www.fullpicture.app/item/287f65d6119e33de4cfaf39e9913ed24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1FD7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999031/" TargetMode="External"/><Relationship Id="rId8" Type="http://schemas.openxmlformats.org/officeDocument/2006/relationships/hyperlink" Target="https://www.fullpicture.app/item/287f65d6119e33de4cfaf39e9913ed2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2023-12-05T12:13:54+01:00</dcterms:created>
  <dcterms:modified xsi:type="dcterms:W3CDTF">2023-12-05T12:13:54+01:00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