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中国环境保护税与绿色创新：杠杆效应还是挤出效应? - 中国知网</w:t></w:r><w:br/><w:hyperlink r:id="rId7" w:history="1"><w:r><w:rPr><w:color w:val="2980b9"/><w:u w:val="single"/></w:rPr><w:t xml:space="preserve">https://kns.cnki.net/kcms2/article/abstract?v=3uoqIhG8C44YLTlOAiTRKibYlV5Vjs7iJTKGjg9uTdeTsOI_ra5_XXDyCB4xVSZxd9oN01tfxZB0LCuor24M-TeZ2OlfpBCO&uniplatform=NZKPT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中国环境保护税的实施对绿色创新具有杠杆效应。文章指出，环境保护税的实施可以促使企业更加重视环境保护和节能减排，从而推动绿色技术和产品的发展。同时，税收政策也可以为绿色创新提供资金支持和市场需求。</w:t></w:r></w:p><w:p><w:pPr><w:jc w:val="both"/></w:pPr><w:r><w:rPr/><w:t xml:space="preserve"></w:t></w:r></w:p><w:p><w:pPr><w:jc w:val="both"/></w:pPr><w:r><w:rPr/><w:t xml:space="preserve">2. 环境保护税可能会产生挤出效应。文章认为，如果环境保护税过高或者征收不合理，可能会导致企业降低生产规模或者转移至其他地区或国家，从而影响当地经济发展和就业。</w:t></w:r></w:p><w:p><w:pPr><w:jc w:val="both"/></w:pPr><w:r><w:rPr/><w:t xml:space="preserve"></w:t></w:r></w:p><w:p><w:pPr><w:jc w:val="both"/></w:pPr><w:r><w:rPr/><w:t xml:space="preserve">3. 政府需要采取综合措施来平衡环境保护与经济发展之间的关系。文章建议政府在制定环境保护税政策时要考虑到企业的实际情况，并采取相应的激励措施来鼓励企业进行绿色创新。此外，政府还需要加强监管力度，确保环境保护税的征收和使用符合法律法规，并且要加强公众参与和信息公开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https://www.fullpicture.app/item/2a01bf9619be3144a941a0b1d3ccb22d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EF62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XDyCB4xVSZxd9oN01tfxZB0LCuor24M-TeZ2OlfpBCO&amp;uniplatform=NZKPT" TargetMode="External"/><Relationship Id="rId8" Type="http://schemas.openxmlformats.org/officeDocument/2006/relationships/hyperlink" Target="https://www.fullpicture.app/item/2a01bf9619be3144a941a0b1d3ccb22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2024-02-24T05:12:03+01:00</dcterms:created>
  <dcterms:modified xsi:type="dcterms:W3CDTF">2024-02-24T05:12:03+01:00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