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危重患者持续肾脏替代治疗的抗凝选择：随机对照试验的系统评价和网络荟萃分析 - PMC</w:t>
      </w:r>
      <w:br/>
      <w:hyperlink r:id="rId7" w:history="1">
        <w:r>
          <w:rPr>
            <w:color w:val="2980b9"/>
            <w:u w:val="single"/>
          </w:rPr>
          <w:t xml:space="preserve">https://www.ncbi.nlm.nih.gov/pmc/articles/PMC10249230/</w:t>
        </w:r>
      </w:hyperlink>
    </w:p>
    <w:p>
      <w:pPr>
        <w:pStyle w:val="Heading1"/>
      </w:pPr>
      <w:bookmarkStart w:id="2" w:name="_Toc2"/>
      <w:r>
        <w:t>Article summary:</w:t>
      </w:r>
      <w:bookmarkEnd w:id="2"/>
    </w:p>
    <w:p>
      <w:pPr>
        <w:jc w:val="both"/>
      </w:pPr>
      <w:r>
        <w:rPr/>
        <w:t xml:space="preserve">1. 本研究通过系统评价和网络荟萃分析比较了不同抗凝治疗方案在危重患者持续肾脏替代治疗中的有效性和安全性。</w:t>
      </w:r>
    </w:p>
    <w:p>
      <w:pPr>
        <w:jc w:val="both"/>
      </w:pPr>
      <w:r>
        <w:rPr/>
        <w:t xml:space="preserve">2. 研究结果显示，与普通肝素相比，局部柠檬酸盐抗凝更有效地延长滤器寿命并降低出血风险。</w:t>
      </w:r>
    </w:p>
    <w:p>
      <w:pPr>
        <w:jc w:val="both"/>
      </w:pPr>
      <w:r>
        <w:rPr/>
        <w:t xml:space="preserve">3. 区域性普通肝素联合前列腺素I2在延长滤器寿命方面似乎优于其他抗凝治疗方案，但目前只有一项研究纳入了该方案。因此，还需要进行更多高质量的研究来验证其效果。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数据来源：文章没有明确提及使用哪些数据库进行文献检索，也没有提供详细的搜索策略。这可能导致选择性报道和潜在的偏见。</w:t>
      </w:r>
    </w:p>
    <w:p>
      <w:pPr>
        <w:jc w:val="both"/>
      </w:pPr>
      <w:r>
        <w:rPr/>
        <w:t xml:space="preserve"/>
      </w:r>
    </w:p>
    <w:p>
      <w:pPr>
        <w:jc w:val="both"/>
      </w:pPr>
      <w:r>
        <w:rPr/>
        <w:t xml:space="preserve">2. 样本数量和质量：文章提到纳入了37项随机对照试验，涉及2648名受试者。然而，并未提供每个试验的样本量和质量评估。如果有一些小样本量或低质量的试验被纳入，可能会影响结果的可靠性。</w:t>
      </w:r>
    </w:p>
    <w:p>
      <w:pPr>
        <w:jc w:val="both"/>
      </w:pPr>
      <w:r>
        <w:rPr/>
        <w:t xml:space="preserve"/>
      </w:r>
    </w:p>
    <w:p>
      <w:pPr>
        <w:jc w:val="both"/>
      </w:pPr>
      <w:r>
        <w:rPr/>
        <w:t xml:space="preserve">3. 抗凝治疗方案比较：文章提到了多种抗凝治疗方案，但并未明确说明这些方案之间是否存在差异。例如，不同抗凝剂之间的剂量、给药途径、治疗持续时间等因素可能会影响结果。</w:t>
      </w:r>
    </w:p>
    <w:p>
      <w:pPr>
        <w:jc w:val="both"/>
      </w:pPr>
      <w:r>
        <w:rPr/>
        <w:t xml:space="preserve"/>
      </w:r>
    </w:p>
    <w:p>
      <w:pPr>
        <w:jc w:val="both"/>
      </w:pPr>
      <w:r>
        <w:rPr/>
        <w:t xml:space="preserve">4. 结果解释：文章提到在大多数评估的抗凝方案中，并未观察到统计学上的显着差异。然而，并未提供具体数据或效应大小来支持这一结论。此外，对于滤器寿命延长和出血风险降低等结果，是否存在临床上重要的差异也没有进行讨论。</w:t>
      </w:r>
    </w:p>
    <w:p>
      <w:pPr>
        <w:jc w:val="both"/>
      </w:pPr>
      <w:r>
        <w:rPr/>
        <w:t xml:space="preserve"/>
      </w:r>
    </w:p>
    <w:p>
      <w:pPr>
        <w:jc w:val="both"/>
      </w:pPr>
      <w:r>
        <w:rPr/>
        <w:t xml:space="preserve">5. 缺失的考虑点：文章未提及一些重要的考虑点，如患者的基线特征、并发症风险、治疗过程中的监测和调整等。这些因素可能会对抗凝治疗方案的选择和效果产生影响。</w:t>
      </w:r>
    </w:p>
    <w:p>
      <w:pPr>
        <w:jc w:val="both"/>
      </w:pPr>
      <w:r>
        <w:rPr/>
        <w:t xml:space="preserve"/>
      </w:r>
    </w:p>
    <w:p>
      <w:pPr>
        <w:jc w:val="both"/>
      </w:pPr>
      <w:r>
        <w:rPr/>
        <w:t xml:space="preserve">6. 缺乏证据支持的主张：文章提到RCA是危重患者持续肾脏替代治疗的首选抗凝剂，但并未提供足够的证据来支持这一主张。缺乏直接比较不同抗凝剂之间有效性和安全性的高质量试验。</w:t>
      </w:r>
    </w:p>
    <w:p>
      <w:pPr>
        <w:jc w:val="both"/>
      </w:pPr>
      <w:r>
        <w:rPr/>
        <w:t xml:space="preserve"/>
      </w:r>
    </w:p>
    <w:p>
      <w:pPr>
        <w:jc w:val="both"/>
      </w:pPr>
      <w:r>
        <w:rPr/>
        <w:t xml:space="preserve">7. 未探索的反驳：文章未涉及任何可能存在的反驳观点或争议。这可能导致信息片面或偏颇。</w:t>
      </w:r>
    </w:p>
    <w:p>
      <w:pPr>
        <w:jc w:val="both"/>
      </w:pPr>
      <w:r>
        <w:rPr/>
        <w:t xml:space="preserve"/>
      </w:r>
    </w:p>
    <w:p>
      <w:pPr>
        <w:jc w:val="both"/>
      </w:pPr>
      <w:r>
        <w:rPr/>
        <w:t xml:space="preserve">总体而言，上述文章在描述危重患者持续肾脏替代治疗抗凝选择时存在一些问题和潜在偏见。更多详细数据、高质量试验和全面考虑各种因素是需要进一步研究和分析的。</w:t>
      </w:r>
    </w:p>
    <w:p>
      <w:pPr>
        <w:pStyle w:val="Heading1"/>
      </w:pPr>
      <w:bookmarkStart w:id="5" w:name="_Toc5"/>
      <w:r>
        <w:t>Topics for further research:</w:t>
      </w:r>
      <w:bookmarkEnd w:id="5"/>
    </w:p>
    <w:p>
      <w:pPr>
        <w:spacing w:after="0"/>
        <w:numPr>
          <w:ilvl w:val="0"/>
          <w:numId w:val="2"/>
        </w:numPr>
      </w:pPr>
      <w:r>
        <w:rPr/>
        <w:t xml:space="preserve">数据库选择和搜索策略
</w:t>
      </w:r>
    </w:p>
    <w:p>
      <w:pPr>
        <w:spacing w:after="0"/>
        <w:numPr>
          <w:ilvl w:val="0"/>
          <w:numId w:val="2"/>
        </w:numPr>
      </w:pPr>
      <w:r>
        <w:rPr/>
        <w:t xml:space="preserve">试验样本量和质量评估
</w:t>
      </w:r>
    </w:p>
    <w:p>
      <w:pPr>
        <w:spacing w:after="0"/>
        <w:numPr>
          <w:ilvl w:val="0"/>
          <w:numId w:val="2"/>
        </w:numPr>
      </w:pPr>
      <w:r>
        <w:rPr/>
        <w:t xml:space="preserve">抗凝治疗方案之间的差异
</w:t>
      </w:r>
    </w:p>
    <w:p>
      <w:pPr>
        <w:spacing w:after="0"/>
        <w:numPr>
          <w:ilvl w:val="0"/>
          <w:numId w:val="2"/>
        </w:numPr>
      </w:pPr>
      <w:r>
        <w:rPr/>
        <w:t xml:space="preserve">结果的具体数据和效应大小
</w:t>
      </w:r>
    </w:p>
    <w:p>
      <w:pPr>
        <w:spacing w:after="0"/>
        <w:numPr>
          <w:ilvl w:val="0"/>
          <w:numId w:val="2"/>
        </w:numPr>
      </w:pPr>
      <w:r>
        <w:rPr/>
        <w:t xml:space="preserve">患者基线特征和治疗过程中的监测和调整
</w:t>
      </w:r>
    </w:p>
    <w:p>
      <w:pPr>
        <w:numPr>
          <w:ilvl w:val="0"/>
          <w:numId w:val="2"/>
        </w:numPr>
      </w:pPr>
      <w:r>
        <w:rPr/>
        <w:t xml:space="preserve">不同抗凝剂之间有效性和安全性的直接比较</w:t>
      </w:r>
    </w:p>
    <w:p>
      <w:pPr>
        <w:pStyle w:val="Heading1"/>
      </w:pPr>
      <w:bookmarkStart w:id="6" w:name="_Toc6"/>
      <w:r>
        <w:t>Report location:</w:t>
      </w:r>
      <w:bookmarkEnd w:id="6"/>
    </w:p>
    <w:p>
      <w:hyperlink r:id="rId8" w:history="1">
        <w:r>
          <w:rPr>
            <w:color w:val="2980b9"/>
            <w:u w:val="single"/>
          </w:rPr>
          <w:t xml:space="preserve">https://www.fullpicture.app/item/2a36ab5cefcf4824ab6e52fb864c2a9d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91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49230/" TargetMode="External"/><Relationship Id="rId8" Type="http://schemas.openxmlformats.org/officeDocument/2006/relationships/hyperlink" Target="https://www.fullpicture.app/item/2a36ab5cefcf4824ab6e52fb864c2a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2024-05-17T03:20:10+02:00</dcterms:created>
  <dcterms:modified xsi:type="dcterms:W3CDTF">2024-05-17T03:20:10+02:00</dcterms:modified>
</cp:coreProperties>
</file>

<file path=docProps/custom.xml><?xml version="1.0" encoding="utf-8"?>
<Properties xmlns="http://schemas.openxmlformats.org/officeDocument/2006/custom-properties" xmlns:vt="http://schemas.openxmlformats.org/officeDocument/2006/docPropsVTypes"/>
</file>