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Recent trends in wealth inequality among older Americans in two surveys - PMC</w:t>
      </w:r>
      <w:br/>
      <w:hyperlink r:id="rId7" w:history="1">
        <w:r>
          <w:rPr>
            <w:color w:val="2980b9"/>
            <w:u w:val="single"/>
          </w:rPr>
          <w:t xml:space="preserve">https://www.ncbi.nlm.nih.gov/pmc/articles/PMC9103150/</w:t>
        </w:r>
      </w:hyperlink>
    </w:p>
    <w:p>
      <w:pPr>
        <w:pStyle w:val="Heading1"/>
      </w:pPr>
      <w:bookmarkStart w:id="2" w:name="_Toc2"/>
      <w:r>
        <w:t>Article summary:</w:t>
      </w:r>
      <w:bookmarkEnd w:id="2"/>
    </w:p>
    <w:p>
      <w:pPr>
        <w:jc w:val="both"/>
      </w:pPr>
      <w:r>
        <w:rPr/>
        <w:t xml:space="preserve">1. This article examines changes in wealth inequality among American households with a member aged 55 or older, comparing data from the Health and Retirement Study (HRS) and the Survey of Consumer Finances (SCF) between 1998 and 2016.</w:t>
      </w:r>
    </w:p>
    <w:p>
      <w:pPr>
        <w:jc w:val="both"/>
      </w:pPr>
      <w:r>
        <w:rPr/>
        <w:t xml:space="preserve">2. Both surveys show an increase in wealth inequality between 1998 and 2016, mostly due to increased wealth at the top, and after 2012, due to an increase in the share of households with very little wealth as well.</w:t>
      </w:r>
    </w:p>
    <w:p>
      <w:pPr>
        <w:jc w:val="both"/>
      </w:pPr>
      <w:r>
        <w:rPr/>
        <w:t xml:space="preserve">3. Wealth inequality by education and race was already substantial in 1998, but increased further by 2016 according to both surveys.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detailed information on its sources of data (the Health and Retirement Study (HRS) and the Survey of Consumer Finances (SCF)) as well as its methodology for analysis. The article also provides a clear summary of its findings which are supported by evidence from both surveys. However, there are some potential biases that should be noted. For example, the article does not explore counterarguments or present both sides equally when discussing trends in wealth inequality among older Americans. Additionally, there is no mention of possible risks associated with increasing wealth inequality such as decreased access to healthcare or other services for those with lower levels of wealth. Furthermore, while the article does provide evidence for its claims about increasing wealth inequality over time, it does not provide any evidence for why this trend has occurred or what can be done to address it. In conclusion, while this article is generally trustworthy and reliable,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Causes of wealth inequality</w:t>
      </w:r>
    </w:p>
    <w:p>
      <w:pPr>
        <w:spacing w:after="0"/>
        <w:numPr>
          <w:ilvl w:val="0"/>
          <w:numId w:val="2"/>
        </w:numPr>
      </w:pPr>
      <w:r>
        <w:rPr/>
        <w:t xml:space="preserve">Effects of wealth inequality</w:t>
      </w:r>
    </w:p>
    <w:p>
      <w:pPr>
        <w:spacing w:after="0"/>
        <w:numPr>
          <w:ilvl w:val="0"/>
          <w:numId w:val="2"/>
        </w:numPr>
      </w:pPr>
      <w:r>
        <w:rPr/>
        <w:t xml:space="preserve">Solutions to wealth inequality</w:t>
      </w:r>
    </w:p>
    <w:p>
      <w:pPr>
        <w:spacing w:after="0"/>
        <w:numPr>
          <w:ilvl w:val="0"/>
          <w:numId w:val="2"/>
        </w:numPr>
      </w:pPr>
      <w:r>
        <w:rPr/>
        <w:t xml:space="preserve">Healthcare access and wealth inequality</w:t>
      </w:r>
    </w:p>
    <w:p>
      <w:pPr>
        <w:spacing w:after="0"/>
        <w:numPr>
          <w:ilvl w:val="0"/>
          <w:numId w:val="2"/>
        </w:numPr>
      </w:pPr>
      <w:r>
        <w:rPr/>
        <w:t xml:space="preserve">Impact of wealth inequality on older Americans</w:t>
      </w:r>
    </w:p>
    <w:p>
      <w:pPr>
        <w:numPr>
          <w:ilvl w:val="0"/>
          <w:numId w:val="2"/>
        </w:numPr>
      </w:pPr>
      <w:r>
        <w:rPr/>
        <w:t xml:space="preserve">Intergenerational wealth inequality</w:t>
      </w:r>
    </w:p>
    <w:p>
      <w:pPr>
        <w:pStyle w:val="Heading1"/>
      </w:pPr>
      <w:bookmarkStart w:id="6" w:name="_Toc6"/>
      <w:r>
        <w:t>Report location:</w:t>
      </w:r>
      <w:bookmarkEnd w:id="6"/>
    </w:p>
    <w:p>
      <w:hyperlink r:id="rId8" w:history="1">
        <w:r>
          <w:rPr>
            <w:color w:val="2980b9"/>
            <w:u w:val="single"/>
          </w:rPr>
          <w:t xml:space="preserve">https://www.fullpicture.app/item/2a4010f56cf4c09f688dde8fc0753dcd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E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03150/" TargetMode="External"/><Relationship Id="rId8" Type="http://schemas.openxmlformats.org/officeDocument/2006/relationships/hyperlink" Target="https://www.fullpicture.app/item/2a4010f56cf4c09f688dde8fc0753d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2023-02-19T02:29:04+01:00</dcterms:created>
  <dcterms:modified xsi:type="dcterms:W3CDTF">2023-02-19T02:29:04+01:00</dcterms:modified>
</cp:coreProperties>
</file>

<file path=docProps/custom.xml><?xml version="1.0" encoding="utf-8"?>
<Properties xmlns="http://schemas.openxmlformats.org/officeDocument/2006/custom-properties" xmlns:vt="http://schemas.openxmlformats.org/officeDocument/2006/docPropsVTypes"/>
</file>