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Equity Daily Exchange Volume &amp; Open Interest - CME Group</w:t>
      </w:r>
      <w:br/>
      <w:hyperlink r:id="rId7" w:history="1">
        <w:r>
          <w:rPr>
            <w:color w:val="2980b9"/>
            <w:u w:val="single"/>
          </w:rPr>
          <w:t xml:space="preserve">https://www.cmegroup.com/market-data/browse-data/equity-volume.html</w:t>
        </w:r>
      </w:hyperlink>
    </w:p>
    <w:p>
      <w:pPr>
        <w:pStyle w:val="Heading1"/>
      </w:pPr>
      <w:bookmarkStart w:id="2" w:name="_Toc2"/>
      <w:r>
        <w:t>Article summary:</w:t>
      </w:r>
      <w:bookmarkEnd w:id="2"/>
    </w:p>
    <w:p>
      <w:pPr>
        <w:jc w:val="both"/>
      </w:pPr>
      <w:r>
        <w:rPr/>
        <w:t xml:space="preserve">1. The article provides a breakdown of the daily exchange volume and open interest for various equity products offered by the Chicago Mercantile Exchange (CME) Group.</w:t>
      </w:r>
    </w:p>
    <w:p>
      <w:pPr>
        <w:jc w:val="both"/>
      </w:pPr>
      <w:r>
        <w:rPr/>
        <w:t xml:space="preserve">2. The products listed include futures and options on indices such as the Nasdaq-100, Russell 2000, S&amp;P 500, and Dow Jones Industrial Average, as well as commodities and select sector futures.</w:t>
      </w:r>
    </w:p>
    <w:p>
      <w:pPr>
        <w:jc w:val="both"/>
      </w:pPr>
      <w:r>
        <w:rPr/>
        <w:t xml:space="preserve">3. The data shows fluctuations in volume and open interest for these products over time, with some experiencing significant changes while others remain relatively stable.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only presents data on the volume and open interest of various equity products traded on CME Group. The article does not contain any claims or arguments that require critical analysis. It is simply a presentation of data.</w:t>
      </w:r>
    </w:p>
    <w:p>
      <w:pPr>
        <w:pStyle w:val="Heading1"/>
      </w:pPr>
      <w:bookmarkStart w:id="5" w:name="_Toc5"/>
      <w:r>
        <w:t>Topics for further research:</w:t>
      </w:r>
      <w:bookmarkEnd w:id="5"/>
    </w:p>
    <w:p>
      <w:pPr>
        <w:spacing w:after="0"/>
        <w:numPr>
          <w:ilvl w:val="0"/>
          <w:numId w:val="2"/>
        </w:numPr>
      </w:pPr>
      <w:r>
        <w:rPr/>
        <w:t xml:space="preserve">Analysis of equity market trends in 2021
</w:t>
      </w:r>
    </w:p>
    <w:p>
      <w:pPr>
        <w:spacing w:after="0"/>
        <w:numPr>
          <w:ilvl w:val="0"/>
          <w:numId w:val="2"/>
        </w:numPr>
      </w:pPr>
      <w:r>
        <w:rPr/>
        <w:t xml:space="preserve">Factors influencing open interest in futures trading
</w:t>
      </w:r>
    </w:p>
    <w:p>
      <w:pPr>
        <w:spacing w:after="0"/>
        <w:numPr>
          <w:ilvl w:val="0"/>
          <w:numId w:val="2"/>
        </w:numPr>
      </w:pPr>
      <w:r>
        <w:rPr/>
        <w:t xml:space="preserve">Comparison of CME Group's equity products with other exchanges
</w:t>
      </w:r>
    </w:p>
    <w:p>
      <w:pPr>
        <w:spacing w:after="0"/>
        <w:numPr>
          <w:ilvl w:val="0"/>
          <w:numId w:val="2"/>
        </w:numPr>
      </w:pPr>
      <w:r>
        <w:rPr/>
        <w:t xml:space="preserve">Impact of global events on equity trading volumes
</w:t>
      </w:r>
    </w:p>
    <w:p>
      <w:pPr>
        <w:spacing w:after="0"/>
        <w:numPr>
          <w:ilvl w:val="0"/>
          <w:numId w:val="2"/>
        </w:numPr>
      </w:pPr>
      <w:r>
        <w:rPr/>
        <w:t xml:space="preserve">Strategies for trading equity futures and options
</w:t>
      </w:r>
    </w:p>
    <w:p>
      <w:pPr>
        <w:numPr>
          <w:ilvl w:val="0"/>
          <w:numId w:val="2"/>
        </w:numPr>
      </w:pPr>
      <w:r>
        <w:rPr/>
        <w:t xml:space="preserve">Historical trends in equity market volatility and its effect on trading activity</w:t>
      </w:r>
    </w:p>
    <w:p>
      <w:pPr>
        <w:pStyle w:val="Heading1"/>
      </w:pPr>
      <w:bookmarkStart w:id="6" w:name="_Toc6"/>
      <w:r>
        <w:t>Report location:</w:t>
      </w:r>
      <w:bookmarkEnd w:id="6"/>
    </w:p>
    <w:p>
      <w:hyperlink r:id="rId8" w:history="1">
        <w:r>
          <w:rPr>
            <w:color w:val="2980b9"/>
            <w:u w:val="single"/>
          </w:rPr>
          <w:t xml:space="preserve">https://www.fullpicture.app/item/2b0f0947c918b35ba9c46ef6380f0d43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8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megroup.com/market-data/browse-data/equity-volume.html" TargetMode="External"/><Relationship Id="rId8" Type="http://schemas.openxmlformats.org/officeDocument/2006/relationships/hyperlink" Target="https://www.fullpicture.app/item/2b0f0947c918b35ba9c46ef6380f0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2024-01-08T04:12:12+01:00</dcterms:created>
  <dcterms:modified xsi:type="dcterms:W3CDTF">2024-01-08T04:12:12+01:00</dcterms:modified>
</cp:coreProperties>
</file>

<file path=docProps/custom.xml><?xml version="1.0" encoding="utf-8"?>
<Properties xmlns="http://schemas.openxmlformats.org/officeDocument/2006/custom-properties" xmlns:vt="http://schemas.openxmlformats.org/officeDocument/2006/docPropsVTypes"/>
</file>