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Inclusive Teaching. Understanding Disability: Legislation and Standards - ADCET</w:t>
      </w:r>
      <w:br/>
      <w:hyperlink r:id="rId7" w:history="1">
        <w:r>
          <w:rPr>
            <w:color w:val="2980b9"/>
            <w:u w:val="single"/>
          </w:rPr>
          <w:t xml:space="preserve">https://www.adcet.edu.au/inclusive-teaching/understanding-disability/legislation-standards</w:t>
        </w:r>
      </w:hyperlink>
    </w:p>
    <w:p>
      <w:pPr>
        <w:pStyle w:val="Heading1"/>
      </w:pPr>
      <w:bookmarkStart w:id="2" w:name="_Toc2"/>
      <w:r>
        <w:t>Article summary:</w:t>
      </w:r>
      <w:bookmarkEnd w:id="2"/>
    </w:p>
    <w:p>
      <w:pPr>
        <w:jc w:val="both"/>
      </w:pPr>
      <w:r>
        <w:rPr/>
        <w:t xml:space="preserve">1. The Commonwealth Disability Discrimination Act 1992 (DDA) prohibits discrimination against people with disabilities in education and training organizations.</w:t>
      </w:r>
    </w:p>
    <w:p>
      <w:pPr>
        <w:jc w:val="both"/>
      </w:pPr>
      <w:r>
        <w:rPr/>
        <w:t xml:space="preserve">2. The Disability Standards for Education clarify the obligations under the DDA and ensure that students with disabilities have equal access to education and training opportunities.</w:t>
      </w:r>
    </w:p>
    <w:p>
      <w:pPr>
        <w:jc w:val="both"/>
      </w:pPr>
      <w:r>
        <w:rPr/>
        <w:t xml:space="preserve">3. Education providers are required to make reasonable adjustments to teaching practices and environments to accommodate students with disabilities, and failure to do so can result in legal consequences.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legislation and standards related to inclusive teaching and understanding disability. It highlights the Commonwealth Disability Discrimination Act 1992 (DDA) as a core piece of legislation that prohibits discrimination against people with disabilities. The article also discusses the Disability Standards for Education, which clarify obligations under the DDA in relation to education and training.</w:t>
      </w:r>
    </w:p>
    <w:p>
      <w:pPr>
        <w:jc w:val="both"/>
      </w:pPr>
      <w:r>
        <w:rPr/>
        <w:t xml:space="preserve"/>
      </w:r>
    </w:p>
    <w:p>
      <w:pPr>
        <w:jc w:val="both"/>
      </w:pPr>
      <w:r>
        <w:rPr/>
        <w:t xml:space="preserve">Overall, the article appears to be informative and objective in its presentation of the legislation and standards. However, there are a few potential biases and missing points of consideration that should be noted.</w:t>
      </w:r>
    </w:p>
    <w:p>
      <w:pPr>
        <w:jc w:val="both"/>
      </w:pPr>
      <w:r>
        <w:rPr/>
        <w:t xml:space="preserve"/>
      </w:r>
    </w:p>
    <w:p>
      <w:pPr>
        <w:jc w:val="both"/>
      </w:pPr>
      <w:r>
        <w:rPr/>
        <w:t xml:space="preserve">Firstly, while the article mentions that discrimination within the Act relates to less favorable treatment or consequences, it does not provide specific examples or evidence of discrimination in educational settings. Including real-life examples could have strengthened the argument for why these legislation and standards are necessary.</w:t>
      </w:r>
    </w:p>
    <w:p>
      <w:pPr>
        <w:jc w:val="both"/>
      </w:pPr>
      <w:r>
        <w:rPr/>
        <w:t xml:space="preserve"/>
      </w:r>
    </w:p>
    <w:p>
      <w:pPr>
        <w:jc w:val="both"/>
      </w:pPr>
      <w:r>
        <w:rPr/>
        <w:t xml:space="preserve">Additionally, the article does not explore potential counterarguments or criticisms of these legislation and standards. For example, some may argue that making reasonable adjustments for students with disabilities could place an undue burden on educational institutions or compromise academic integrity. Addressing such counterarguments would provide a more balanced perspective on the issue.</w:t>
      </w:r>
    </w:p>
    <w:p>
      <w:pPr>
        <w:jc w:val="both"/>
      </w:pPr>
      <w:r>
        <w:rPr/>
        <w:t xml:space="preserve"/>
      </w:r>
    </w:p>
    <w:p>
      <w:pPr>
        <w:jc w:val="both"/>
      </w:pPr>
      <w:r>
        <w:rPr/>
        <w:t xml:space="preserve">Furthermore, there is limited discussion about the potential risks or challenges associated with implementing these legislation and standards. For instance, ensuring equal access to education for students with disabilities may require significant financial resources and specialized support services. Acknowledging these challenges would provide a more realistic assessment of the situation.</w:t>
      </w:r>
    </w:p>
    <w:p>
      <w:pPr>
        <w:jc w:val="both"/>
      </w:pPr>
      <w:r>
        <w:rPr/>
        <w:t xml:space="preserve"/>
      </w:r>
    </w:p>
    <w:p>
      <w:pPr>
        <w:jc w:val="both"/>
      </w:pPr>
      <w:r>
        <w:rPr/>
        <w:t xml:space="preserve">Lastly, while the article briefly mentions work health and safety laws in relation to disability, it does not delve into how these laws intersect with disability rights. Exploring this intersection would have provided a more comprehensive understanding of how disability is addressed in educational settings.</w:t>
      </w:r>
    </w:p>
    <w:p>
      <w:pPr>
        <w:jc w:val="both"/>
      </w:pPr>
      <w:r>
        <w:rPr/>
        <w:t xml:space="preserve"/>
      </w:r>
    </w:p>
    <w:p>
      <w:pPr>
        <w:jc w:val="both"/>
      </w:pPr>
      <w:r>
        <w:rPr/>
        <w:t xml:space="preserve">In conclusion, while the article provides valuable information about inclusive teaching and understanding disability legislation and standards, it could benefit from addressing potential biases, exploring counterarguments, providing more evidence for claims made, considering potential risks or challenges, and discussing intersections with other relevant laws or regulations.</w:t>
      </w:r>
    </w:p>
    <w:p>
      <w:pPr>
        <w:pStyle w:val="Heading1"/>
      </w:pPr>
      <w:bookmarkStart w:id="5" w:name="_Toc5"/>
      <w:r>
        <w:t>Topics for further research:</w:t>
      </w:r>
      <w:bookmarkEnd w:id="5"/>
    </w:p>
    <w:p>
      <w:pPr>
        <w:spacing w:after="0"/>
        <w:numPr>
          <w:ilvl w:val="0"/>
          <w:numId w:val="2"/>
        </w:numPr>
      </w:pPr>
      <w:r>
        <w:rPr/>
        <w:t xml:space="preserve">Criticisms of inclusive teaching legislation and standards in education
</w:t>
      </w:r>
    </w:p>
    <w:p>
      <w:pPr>
        <w:spacing w:after="0"/>
        <w:numPr>
          <w:ilvl w:val="0"/>
          <w:numId w:val="2"/>
        </w:numPr>
      </w:pPr>
      <w:r>
        <w:rPr/>
        <w:t xml:space="preserve">Examples of discrimination against students with disabilities in educational settings
</w:t>
      </w:r>
    </w:p>
    <w:p>
      <w:pPr>
        <w:spacing w:after="0"/>
        <w:numPr>
          <w:ilvl w:val="0"/>
          <w:numId w:val="2"/>
        </w:numPr>
      </w:pPr>
      <w:r>
        <w:rPr/>
        <w:t xml:space="preserve">Challenges and risks associated with implementing inclusive teaching legislation and standards
</w:t>
      </w:r>
    </w:p>
    <w:p>
      <w:pPr>
        <w:spacing w:after="0"/>
        <w:numPr>
          <w:ilvl w:val="0"/>
          <w:numId w:val="2"/>
        </w:numPr>
      </w:pPr>
      <w:r>
        <w:rPr/>
        <w:t xml:space="preserve">Financial resources required for ensuring equal access to education for students with disabilities
</w:t>
      </w:r>
    </w:p>
    <w:p>
      <w:pPr>
        <w:spacing w:after="0"/>
        <w:numPr>
          <w:ilvl w:val="0"/>
          <w:numId w:val="2"/>
        </w:numPr>
      </w:pPr>
      <w:r>
        <w:rPr/>
        <w:t xml:space="preserve">Specialized support services for students with disabilities in educational settings
</w:t>
      </w:r>
    </w:p>
    <w:p>
      <w:pPr>
        <w:numPr>
          <w:ilvl w:val="0"/>
          <w:numId w:val="2"/>
        </w:numPr>
      </w:pPr>
      <w:r>
        <w:rPr/>
        <w:t xml:space="preserve">Intersection of work health and safety laws with disability rights in education</w:t>
      </w:r>
    </w:p>
    <w:p>
      <w:pPr>
        <w:pStyle w:val="Heading1"/>
      </w:pPr>
      <w:bookmarkStart w:id="6" w:name="_Toc6"/>
      <w:r>
        <w:t>Report location:</w:t>
      </w:r>
      <w:bookmarkEnd w:id="6"/>
    </w:p>
    <w:p>
      <w:hyperlink r:id="rId8" w:history="1">
        <w:r>
          <w:rPr>
            <w:color w:val="2980b9"/>
            <w:u w:val="single"/>
          </w:rPr>
          <w:t xml:space="preserve">https://www.fullpicture.app/item/2c305866de369e74edd27911fd356734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7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cet.edu.au/inclusive-teaching/understanding-disability/legislation-standards" TargetMode="External"/><Relationship Id="rId8" Type="http://schemas.openxmlformats.org/officeDocument/2006/relationships/hyperlink" Target="https://www.fullpicture.app/item/2c305866de369e74edd27911fd356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2023-10-05T00:59:02+02:00</dcterms:created>
  <dcterms:modified xsi:type="dcterms:W3CDTF">2023-10-05T00:59:02+02:00</dcterms:modified>
</cp:coreProperties>
</file>

<file path=docProps/custom.xml><?xml version="1.0" encoding="utf-8"?>
<Properties xmlns="http://schemas.openxmlformats.org/officeDocument/2006/custom-properties" xmlns:vt="http://schemas.openxmlformats.org/officeDocument/2006/docPropsVTypes"/>
</file>