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中国发电基础设施材料、能源和碳排放关系的时空演变模式 - ScienceDirect</w:t>
      </w:r>
      <w:br/>
      <w:hyperlink r:id="rId7" w:history="1">
        <w:r>
          <w:rPr>
            <w:color w:val="2980b9"/>
            <w:u w:val="single"/>
          </w:rPr>
          <w:t xml:space="preserve">https://www.sciencedirect.com/science/article/pii/S0921344922006073</w:t>
        </w:r>
      </w:hyperlink>
    </w:p>
    <w:p>
      <w:pPr>
        <w:pStyle w:val="Heading1"/>
      </w:pPr>
      <w:bookmarkStart w:id="2" w:name="_Toc2"/>
      <w:r>
        <w:t>Article summary:</w:t>
      </w:r>
      <w:bookmarkEnd w:id="2"/>
    </w:p>
    <w:p>
      <w:pPr>
        <w:jc w:val="both"/>
      </w:pPr>
      <w:r>
        <w:rPr/>
        <w:t xml:space="preserve">1. This article explores the nexus of material, energy and carbon emissions in China's power generation infrastructure from 1993 to 2060.</w:t>
      </w:r>
    </w:p>
    <w:p>
      <w:pPr>
        <w:jc w:val="both"/>
      </w:pPr>
      <w:r>
        <w:rPr/>
        <w:t xml:space="preserve">2. It identifies several spatial and temporal evolution patterns of installed capacity with concern on the stocks of cement, steel, aluminum, and copper, as well as carbon emissions and their intensities from China's power generation infrastructure.</w:t>
      </w:r>
    </w:p>
    <w:p>
      <w:pPr>
        <w:jc w:val="both"/>
      </w:pPr>
      <w:r>
        <w:rPr/>
        <w:t xml:space="preserve">3. The article proposes that carbon emissions caused by cement and steel consumption would still play a leading role and the proportion of carbon emissions caused by aluminum consumption would gradually increase.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in its reporting on the nexus of material, energy and carbon emissions in China's power generation infrastructure from 1993 to 2060. The authors provide a comprehensive overview of the relevant literature on this topic, which helps to establish a strong foundation for their analysis. Furthermore, they use a stock-driven dynamic material flow analysis model for materials production and carbon emissions to estimate material stock and carbon emissions of power generation infrastructure in China over time. </w:t>
      </w:r>
    </w:p>
    <w:p>
      <w:pPr>
        <w:jc w:val="both"/>
      </w:pPr>
      <w:r>
        <w:rPr/>
        <w:t xml:space="preserve">The article does not appear to be biased or one-sided in its reporting; it presents both sides equally by providing an overview of existing literature on the topic as well as presenting their own findings from their analysis. Additionally, all claims made are supported by evidence provided throughout the article. </w:t>
      </w:r>
    </w:p>
    <w:p>
      <w:pPr>
        <w:jc w:val="both"/>
      </w:pPr>
      <w:r>
        <w:rPr/>
        <w:t xml:space="preserve">However, there are some points that could be further explored or considered in more detail. For example, while the authors discuss potential technological progress that could help reduce resource consumption and carbon emissions intensity of power generation infrastructure for decision-making on China's carbon peaking and neutrality goals, they do not provide any specific examples or details about how this progress could be achieved or implemented. Additionally, while they discuss potential regional differences in resource endowment across China when it comes to power generation infrastructure transformation, they do not provide any specific examples or details about these differences either. </w:t>
      </w:r>
    </w:p>
    <w:p>
      <w:pPr>
        <w:jc w:val="both"/>
      </w:pPr>
      <w:r>
        <w:rPr/>
        <w:t xml:space="preserve">In conclusion, overall this article is reliable and trustworthy in its reporting on the nexus of material, energy and carbon emissions in China's power generation infrastructure from 1993 to 2060; however there are some points that could be further explored or considered in more detail for future research into this topic.</w:t>
      </w:r>
    </w:p>
    <w:p>
      <w:pPr>
        <w:pStyle w:val="Heading1"/>
      </w:pPr>
      <w:bookmarkStart w:id="5" w:name="_Toc5"/>
      <w:r>
        <w:t>Topics for further research:</w:t>
      </w:r>
      <w:bookmarkEnd w:id="5"/>
    </w:p>
    <w:p>
      <w:pPr>
        <w:spacing w:after="0"/>
        <w:numPr>
          <w:ilvl w:val="0"/>
          <w:numId w:val="2"/>
        </w:numPr>
      </w:pPr>
      <w:r>
        <w:rPr/>
        <w:t xml:space="preserve">Carbon peaking and neutrality goals</w:t>
      </w:r>
    </w:p>
    <w:p>
      <w:pPr>
        <w:spacing w:after="0"/>
        <w:numPr>
          <w:ilvl w:val="0"/>
          <w:numId w:val="2"/>
        </w:numPr>
      </w:pPr>
      <w:r>
        <w:rPr/>
        <w:t xml:space="preserve">Technological progress for resource consumption reduction</w:t>
      </w:r>
    </w:p>
    <w:p>
      <w:pPr>
        <w:spacing w:after="0"/>
        <w:numPr>
          <w:ilvl w:val="0"/>
          <w:numId w:val="2"/>
        </w:numPr>
      </w:pPr>
      <w:r>
        <w:rPr/>
        <w:t xml:space="preserve">Carbon emissions intensity of power generation infrastructure</w:t>
      </w:r>
    </w:p>
    <w:p>
      <w:pPr>
        <w:spacing w:after="0"/>
        <w:numPr>
          <w:ilvl w:val="0"/>
          <w:numId w:val="2"/>
        </w:numPr>
      </w:pPr>
      <w:r>
        <w:rPr/>
        <w:t xml:space="preserve">Regional differences in resource endowment</w:t>
      </w:r>
    </w:p>
    <w:p>
      <w:pPr>
        <w:spacing w:after="0"/>
        <w:numPr>
          <w:ilvl w:val="0"/>
          <w:numId w:val="2"/>
        </w:numPr>
      </w:pPr>
      <w:r>
        <w:rPr/>
        <w:t xml:space="preserve">Power generation infrastructure transformation</w:t>
      </w:r>
    </w:p>
    <w:p>
      <w:pPr>
        <w:numPr>
          <w:ilvl w:val="0"/>
          <w:numId w:val="2"/>
        </w:numPr>
      </w:pPr>
      <w:r>
        <w:rPr/>
        <w:t xml:space="preserve">Dynamic material flow analysis model</w:t>
      </w:r>
    </w:p>
    <w:p>
      <w:pPr>
        <w:pStyle w:val="Heading1"/>
      </w:pPr>
      <w:bookmarkStart w:id="6" w:name="_Toc6"/>
      <w:r>
        <w:t>Report location:</w:t>
      </w:r>
      <w:bookmarkEnd w:id="6"/>
    </w:p>
    <w:p>
      <w:hyperlink r:id="rId8" w:history="1">
        <w:r>
          <w:rPr>
            <w:color w:val="2980b9"/>
            <w:u w:val="single"/>
          </w:rPr>
          <w:t xml:space="preserve">https://www.fullpicture.app/item/2d5ba4a355ca0d914af7e0988bdfbaf6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7EA39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921344922006073" TargetMode="External"/><Relationship Id="rId8" Type="http://schemas.openxmlformats.org/officeDocument/2006/relationships/hyperlink" Target="https://www.fullpicture.app/item/2d5ba4a355ca0d914af7e0988bdfbaf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2023-02-25T15:39:54+01:00</dcterms:created>
  <dcterms:modified xsi:type="dcterms:W3CDTF">2023-02-25T15:39:54+01:00</dcterms:modified>
</cp:coreProperties>
</file>

<file path=docProps/custom.xml><?xml version="1.0" encoding="utf-8"?>
<Properties xmlns="http://schemas.openxmlformats.org/officeDocument/2006/custom-properties" xmlns:vt="http://schemas.openxmlformats.org/officeDocument/2006/docPropsVTypes"/>
</file>