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How Support for Black Lives Matter Impacts Consumer Responses on Social Media | Marketing Science</w:t>
      </w:r>
      <w:br/>
      <w:hyperlink r:id="rId7" w:history="1">
        <w:r>
          <w:rPr>
            <w:color w:val="2980b9"/>
            <w:u w:val="single"/>
          </w:rPr>
          <w:t xml:space="preserve">https://pubsonline-informs-org.ezp3.lib.umn.edu/doi/full/10.1287/mksc.2022.1372</w:t>
        </w:r>
      </w:hyperlink>
    </w:p>
    <w:p>
      <w:pPr>
        <w:pStyle w:val="Heading1"/>
      </w:pPr>
      <w:bookmarkStart w:id="2" w:name="_Toc2"/>
      <w:r>
        <w:t>Article summary:</w:t>
      </w:r>
      <w:bookmarkEnd w:id="2"/>
    </w:p>
    <w:p>
      <w:pPr>
        <w:jc w:val="both"/>
      </w:pPr>
      <w:r>
        <w:rPr/>
        <w:t xml:space="preserve">1. Black Lives Matter (BLM) is the most impactful racial justice movement that has harnessed social media as a mass mobilization channel.</w:t>
      </w:r>
    </w:p>
    <w:p>
      <w:pPr>
        <w:jc w:val="both"/>
      </w:pPr>
      <w:r>
        <w:rPr/>
        <w:t xml:space="preserve">2. Brands have taken to social media to express their support for BLM, such as Nike's ad campaign with BLM activist Colin Kaepernick in 2018.</w:t>
      </w:r>
    </w:p>
    <w:p>
      <w:pPr>
        <w:jc w:val="both"/>
      </w:pPr>
      <w:r>
        <w:rPr/>
        <w:t xml:space="preserve">3. This article investigates the impact of brands' BLM support on consumer responses on social media, and examines boundary conditions such as brands' social media posting behaviors, mission statement, and financial donation.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analysis of how brands’ support for Black Lives Matter impacts consumer responses on social media. The authors provide evidence from multiple sources to back up their claims, including a multievent analysis of 503 BLM posts by over 430 brands from June 1, 2019 to October 31, 2020; a within-brand cross-platform difference-in-differences (DID) analysis; exploratory analyses on heterogeneous DID effects across brands; and machine learning-enabled natural language processing (NLP) tools. The authors also consider potential boundary conditions such as brands’ social media posting behaviors, mission statement, and financial donation when examining the impact of BLM support on consumer responses.</w:t>
      </w:r>
    </w:p>
    <w:p>
      <w:pPr>
        <w:jc w:val="both"/>
      </w:pPr>
      <w:r>
        <w:rPr/>
        <w:t xml:space="preserve">The article does not appear to be biased or one-sided in its reporting. It presents both sides of the argument – that showing public support for BLM may help attract and engage consumers with positive effects on the brand, but may also be viewed as more performative and less authentic because of potential bandwagon concerns – without favoring either side. The authors also note possible risks associated with expressing support for BLM on social media, such as backlash from consumers who disagree with the message or view it as insincere or opportunistic.</w:t>
      </w:r>
    </w:p>
    <w:p>
      <w:pPr>
        <w:jc w:val="both"/>
      </w:pPr>
      <w:r>
        <w:rPr/>
        <w:t xml:space="preserve">The only potential issue with the article is that it does not explore any counterarguments or alternative perspectives beyond those mentioned above. For example, it does not consider whether there are any benefits to expressing support for BLM even if some consumers view it negatively or perceive it as insincere or opportunistic. Additionally, while the authors do discuss potential boundary conditions such as mission statements and financial donations when examining the impact of BLM support on consumer responses, they do not provide any evidence for these claims nor do they explore other possible boundary conditions that could influence consumer responses.</w:t>
      </w:r>
    </w:p>
    <w:p>
      <w:pPr>
        <w:pStyle w:val="Heading1"/>
      </w:pPr>
      <w:bookmarkStart w:id="5" w:name="_Toc5"/>
      <w:r>
        <w:t>Topics for further research:</w:t>
      </w:r>
      <w:bookmarkEnd w:id="5"/>
    </w:p>
    <w:p>
      <w:pPr>
        <w:spacing w:after="0"/>
        <w:numPr>
          <w:ilvl w:val="0"/>
          <w:numId w:val="2"/>
        </w:numPr>
      </w:pPr>
      <w:r>
        <w:rPr/>
        <w:t xml:space="preserve">Benefits of expressing support for Black Lives Matter</w:t>
      </w:r>
    </w:p>
    <w:p>
      <w:pPr>
        <w:spacing w:after="0"/>
        <w:numPr>
          <w:ilvl w:val="0"/>
          <w:numId w:val="2"/>
        </w:numPr>
      </w:pPr>
      <w:r>
        <w:rPr/>
        <w:t xml:space="preserve">Impact of mission statements on consumer responses to BLM support</w:t>
      </w:r>
    </w:p>
    <w:p>
      <w:pPr>
        <w:spacing w:after="0"/>
        <w:numPr>
          <w:ilvl w:val="0"/>
          <w:numId w:val="2"/>
        </w:numPr>
      </w:pPr>
      <w:r>
        <w:rPr/>
        <w:t xml:space="preserve">Financial donations and consumer responses to BLM support</w:t>
      </w:r>
    </w:p>
    <w:p>
      <w:pPr>
        <w:spacing w:after="0"/>
        <w:numPr>
          <w:ilvl w:val="0"/>
          <w:numId w:val="2"/>
        </w:numPr>
      </w:pPr>
      <w:r>
        <w:rPr/>
        <w:t xml:space="preserve">Counterarguments to BLM support on social media</w:t>
      </w:r>
    </w:p>
    <w:p>
      <w:pPr>
        <w:spacing w:after="0"/>
        <w:numPr>
          <w:ilvl w:val="0"/>
          <w:numId w:val="2"/>
        </w:numPr>
      </w:pPr>
      <w:r>
        <w:rPr/>
        <w:t xml:space="preserve">Alternative perspectives on BLM support</w:t>
      </w:r>
    </w:p>
    <w:p>
      <w:pPr>
        <w:numPr>
          <w:ilvl w:val="0"/>
          <w:numId w:val="2"/>
        </w:numPr>
      </w:pPr>
      <w:r>
        <w:rPr/>
        <w:t xml:space="preserve">Boundary conditions influencing consumer responses to BLM support</w:t>
      </w:r>
    </w:p>
    <w:p>
      <w:pPr>
        <w:pStyle w:val="Heading1"/>
      </w:pPr>
      <w:bookmarkStart w:id="6" w:name="_Toc6"/>
      <w:r>
        <w:t>Report location:</w:t>
      </w:r>
      <w:bookmarkEnd w:id="6"/>
    </w:p>
    <w:p>
      <w:hyperlink r:id="rId8" w:history="1">
        <w:r>
          <w:rPr>
            <w:color w:val="2980b9"/>
            <w:u w:val="single"/>
          </w:rPr>
          <w:t xml:space="preserve">https://www.fullpicture.app/item/2d66856ac5911ba812b13b8675972394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81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ezp3.lib.umn.edu/doi/full/10.1287/mksc.2022.1372" TargetMode="External"/><Relationship Id="rId8" Type="http://schemas.openxmlformats.org/officeDocument/2006/relationships/hyperlink" Target="https://www.fullpicture.app/item/2d66856ac5911ba812b13b86759723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2023-02-18T13:47:59+01:00</dcterms:created>
  <dcterms:modified xsi:type="dcterms:W3CDTF">2023-02-18T13:47:59+01:00</dcterms:modified>
</cp:coreProperties>
</file>

<file path=docProps/custom.xml><?xml version="1.0" encoding="utf-8"?>
<Properties xmlns="http://schemas.openxmlformats.org/officeDocument/2006/custom-properties" xmlns:vt="http://schemas.openxmlformats.org/officeDocument/2006/docPropsVTypes"/>
</file>