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水肥浓度智能感知与精准配比系统研制与试验-中国期刊网</w:t>
      </w:r>
      <w:br/>
      <w:hyperlink r:id="rId7" w:history="1">
        <w:r>
          <w:rPr>
            <w:color w:val="2980b9"/>
            <w:u w:val="single"/>
          </w:rPr>
          <w:t xml:space="preserve">https://www.g3mv.com/thesis/view/4731959</w:t>
        </w:r>
      </w:hyperlink>
    </w:p>
    <w:p>
      <w:pPr>
        <w:pStyle w:val="Heading1"/>
      </w:pPr>
      <w:bookmarkStart w:id="2" w:name="_Toc2"/>
      <w:r>
        <w:t>Article summary:</w:t>
      </w:r>
      <w:bookmarkEnd w:id="2"/>
    </w:p>
    <w:p>
      <w:pPr>
        <w:jc w:val="both"/>
      </w:pPr>
      <w:r>
        <w:rPr/>
        <w:t xml:space="preserve">1. 本研究旨在解决农田中精确复合肥配比的问题，构建了水肥浓度智能感知与精准配比系统。</w:t>
      </w:r>
    </w:p>
    <w:p>
      <w:pPr>
        <w:jc w:val="both"/>
      </w:pPr>
      <w:r>
        <w:rPr/>
        <w:t xml:space="preserve">2. 通过快速建立现场在线水肥溶液智能感知模型，并利用数据分析算法从传感器实时监测的一系列浓度梯度肥料溶液中挖掘模型。</w:t>
      </w:r>
    </w:p>
    <w:p>
      <w:pPr>
        <w:jc w:val="both"/>
      </w:pPr>
      <w:r>
        <w:rPr/>
        <w:t xml:space="preserve">3. 在上述模型基础上设计了水肥浓度智能感知与精准配比系统的框架结构，并验证了系统在现场引导水肥配比方面的有效性。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这篇文章介绍了水肥浓度智能感知与精准配比系统的研制与试验。文章提到了该系统的设计原理和工作效果，并通过实验验证了系统在水肥比例配比中的指导作用。然而，这篇文章存在一些潜在的偏见和问题。</w:t>
      </w:r>
    </w:p>
    <w:p>
      <w:pPr>
        <w:jc w:val="both"/>
      </w:pPr>
      <w:r>
        <w:rPr/>
        <w:t xml:space="preserve"/>
      </w:r>
    </w:p>
    <w:p>
      <w:pPr>
        <w:jc w:val="both"/>
      </w:pPr>
      <w:r>
        <w:rPr/>
        <w:t xml:space="preserve">首先，文章没有提及可能存在的技术限制或风险。例如，是否考虑到传感器故障或数据误差对系统准确性的影响？是否进行了长期稳定性和可靠性测试？这些因素可能会影响系统在实际农田环境中的应用。</w:t>
      </w:r>
    </w:p>
    <w:p>
      <w:pPr>
        <w:jc w:val="both"/>
      </w:pPr>
      <w:r>
        <w:rPr/>
        <w:t xml:space="preserve"/>
      </w:r>
    </w:p>
    <w:p>
      <w:pPr>
        <w:jc w:val="both"/>
      </w:pPr>
      <w:r>
        <w:rPr/>
        <w:t xml:space="preserve">其次，文章没有提供足够的证据来支持其主张。虽然文章提到了通过数据分析算法挖掘模型并验证系统有效性，但没有具体说明使用了什么样的算法或方法，并且没有提供详细的实验结果和统计数据来支持结论。</w:t>
      </w:r>
    </w:p>
    <w:p>
      <w:pPr>
        <w:jc w:val="both"/>
      </w:pPr>
      <w:r>
        <w:rPr/>
        <w:t xml:space="preserve"/>
      </w:r>
    </w:p>
    <w:p>
      <w:pPr>
        <w:jc w:val="both"/>
      </w:pPr>
      <w:r>
        <w:rPr/>
        <w:t xml:space="preserve">此外，文章似乎只关注了水体对水肥比例浓度的干扰问题，而忽略了其他可能存在的干扰因素。例如土壤类型、气候条件等都可能对水肥比例产生影响，但这些因素在文章中并未被充分考虑。</w:t>
      </w:r>
    </w:p>
    <w:p>
      <w:pPr>
        <w:jc w:val="both"/>
      </w:pPr>
      <w:r>
        <w:rPr/>
        <w:t xml:space="preserve"/>
      </w:r>
    </w:p>
    <w:p>
      <w:pPr>
        <w:jc w:val="both"/>
      </w:pPr>
      <w:r>
        <w:rPr/>
        <w:t xml:space="preserve">最后，文章缺乏平衡报道双方观点的内容。文章只提到了系统的优点和应用前景，但没有提及可能存在的局限性或其他观点。这种片面报道可能导致读者对该系统的实际效果和可行性产生误解。</w:t>
      </w:r>
    </w:p>
    <w:p>
      <w:pPr>
        <w:jc w:val="both"/>
      </w:pPr>
      <w:r>
        <w:rPr/>
        <w:t xml:space="preserve"/>
      </w:r>
    </w:p>
    <w:p>
      <w:pPr>
        <w:jc w:val="both"/>
      </w:pPr>
      <w:r>
        <w:rPr/>
        <w:t xml:space="preserve">综上所述，这篇文章在介绍水肥浓度智能感知与精准配比系统方面提供了一些信息，但存在潜在的偏见和不足之处。进一步研究和实验需要更全面地考虑各种因素，并提供充分的证据来支持其主张。</w:t>
      </w:r>
    </w:p>
    <w:p>
      <w:pPr>
        <w:pStyle w:val="Heading1"/>
      </w:pPr>
      <w:bookmarkStart w:id="5" w:name="_Toc5"/>
      <w:r>
        <w:t>Topics for further research:</w:t>
      </w:r>
      <w:bookmarkEnd w:id="5"/>
    </w:p>
    <w:p>
      <w:pPr>
        <w:spacing w:after="0"/>
        <w:numPr>
          <w:ilvl w:val="0"/>
          <w:numId w:val="2"/>
        </w:numPr>
      </w:pPr>
      <w:r>
        <w:rPr/>
        <w:t xml:space="preserve">水肥浓度智能感知与精准配比系统的技术限制和风险
</w:t>
      </w:r>
    </w:p>
    <w:p>
      <w:pPr>
        <w:spacing w:after="0"/>
        <w:numPr>
          <w:ilvl w:val="0"/>
          <w:numId w:val="2"/>
        </w:numPr>
      </w:pPr>
      <w:r>
        <w:rPr/>
        <w:t xml:space="preserve">数据分析算法和方法的具体细节
</w:t>
      </w:r>
    </w:p>
    <w:p>
      <w:pPr>
        <w:spacing w:after="0"/>
        <w:numPr>
          <w:ilvl w:val="0"/>
          <w:numId w:val="2"/>
        </w:numPr>
      </w:pPr>
      <w:r>
        <w:rPr/>
        <w:t xml:space="preserve">长期稳定性和可靠性测试的结果
</w:t>
      </w:r>
    </w:p>
    <w:p>
      <w:pPr>
        <w:spacing w:after="0"/>
        <w:numPr>
          <w:ilvl w:val="0"/>
          <w:numId w:val="2"/>
        </w:numPr>
      </w:pPr>
      <w:r>
        <w:rPr/>
        <w:t xml:space="preserve">其他可能存在的干扰因素对水肥比例的影响
</w:t>
      </w:r>
    </w:p>
    <w:p>
      <w:pPr>
        <w:spacing w:after="0"/>
        <w:numPr>
          <w:ilvl w:val="0"/>
          <w:numId w:val="2"/>
        </w:numPr>
      </w:pPr>
      <w:r>
        <w:rPr/>
        <w:t xml:space="preserve">系统的局限性和其他观点
</w:t>
      </w:r>
    </w:p>
    <w:p>
      <w:pPr>
        <w:numPr>
          <w:ilvl w:val="0"/>
          <w:numId w:val="2"/>
        </w:numPr>
      </w:pPr>
      <w:r>
        <w:rPr/>
        <w:t xml:space="preserve">更全面的研究和实验来支持主张</w:t>
      </w:r>
    </w:p>
    <w:p>
      <w:pPr>
        <w:pStyle w:val="Heading1"/>
      </w:pPr>
      <w:bookmarkStart w:id="6" w:name="_Toc6"/>
      <w:r>
        <w:t>Report location:</w:t>
      </w:r>
      <w:bookmarkEnd w:id="6"/>
    </w:p>
    <w:p>
      <w:hyperlink r:id="rId8" w:history="1">
        <w:r>
          <w:rPr>
            <w:color w:val="2980b9"/>
            <w:u w:val="single"/>
          </w:rPr>
          <w:t xml:space="preserve">https://www.fullpicture.app/item/2f5d3661a898a7280eb68e746e3c92b1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BE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3mv.com/thesis/view/4731959" TargetMode="External"/><Relationship Id="rId8" Type="http://schemas.openxmlformats.org/officeDocument/2006/relationships/hyperlink" Target="https://www.fullpicture.app/item/2f5d3661a898a7280eb68e746e3c9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2024-05-13T03:28:20+02:00</dcterms:created>
  <dcterms:modified xsi:type="dcterms:W3CDTF">2024-05-13T03:28:20+02:00</dcterms:modified>
</cp:coreProperties>
</file>

<file path=docProps/custom.xml><?xml version="1.0" encoding="utf-8"?>
<Properties xmlns="http://schemas.openxmlformats.org/officeDocument/2006/custom-properties" xmlns:vt="http://schemas.openxmlformats.org/officeDocument/2006/docPropsVTypes"/>
</file>