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 on drug pricing negotiations in China</w:t>
      </w:r>
      <w:br/>
      <w:hyperlink r:id="rId7" w:history="1">
        <w:r>
          <w:rPr>
            <w:color w:val="2980b9"/>
            <w:u w:val="single"/>
          </w:rPr>
          <w:t xml:space="preserve">https://www.jstage.jst.go.jp/article/bst/13/6/13_2019.01339/_article</w:t>
        </w:r>
      </w:hyperlink>
    </w:p>
    <w:p>
      <w:pPr>
        <w:pStyle w:val="Heading1"/>
      </w:pPr>
      <w:bookmarkStart w:id="2" w:name="_Toc2"/>
      <w:r>
        <w:t>Article summary:</w:t>
      </w:r>
      <w:bookmarkEnd w:id="2"/>
    </w:p>
    <w:p>
      <w:pPr>
        <w:jc w:val="both"/>
      </w:pPr>
      <w:r>
        <w:rPr/>
        <w:t xml:space="preserve">1. Drug pricing negotiations in China have resulted in significant price decreases for a number of medications. The National Healthcare Security Administration and the Ministry of Human Resources and Social Security announced that 70 first-negotiated drugs saw an average price decrease of 60.7%, while 27 re-negotiated medicines had an average price fall of 26.4%. These negotiations involved drugs from 11 disease categories and were successfully incorporated into the National Reimbursement Drug List (NRDL).</w:t>
      </w:r>
    </w:p>
    <w:p>
      <w:pPr>
        <w:jc w:val="both"/>
      </w:pPr>
      <w:r>
        <w:rPr/>
        <w:t xml:space="preserve"/>
      </w:r>
    </w:p>
    <w:p>
      <w:pPr>
        <w:jc w:val="both"/>
      </w:pPr>
      <w:r>
        <w:rPr/>
        <w:t xml:space="preserve">2. The drugs that were included in the NRDL are mostly newly listed medications with high clinical value, and over half of them are manufactured by Chinese enterprises. Compared to the negotiated drug list in 2017, there was a significant increase in western medicines related to digestive system medications, with 10 drugs being added. Additionally, traditional Chinese medicine related to internal medicine saw an increase of 17 drugs.</w:t>
      </w:r>
    </w:p>
    <w:p>
      <w:pPr>
        <w:jc w:val="both"/>
      </w:pPr>
      <w:r>
        <w:rPr/>
        <w:t xml:space="preserve"/>
      </w:r>
    </w:p>
    <w:p>
      <w:pPr>
        <w:jc w:val="both"/>
      </w:pPr>
      <w:r>
        <w:rPr/>
        <w:t xml:space="preserve">3. The drug pricing negotiation process in China has introduced several innovations, including parallel calculation of the floor price, competitive negotiations, allowing companies to apply for price confidentiality, and increasing government-enterprise communication before negotiations. Incorporating patent drugs into the NRDL through negotiation not only helps reduce the economic burden on patients but also encourages pharmaceutical companies to innovate.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这篇文章对中国药品定价谈判的进展进行了报道，但存在一些潜在的偏见和不足之处。</w:t>
      </w:r>
    </w:p>
    <w:p>
      <w:pPr>
        <w:jc w:val="both"/>
      </w:pPr>
      <w:r>
        <w:rPr/>
        <w:t xml:space="preserve"/>
      </w:r>
    </w:p>
    <w:p>
      <w:pPr>
        <w:jc w:val="both"/>
      </w:pPr>
      <w:r>
        <w:rPr/>
        <w:t xml:space="preserve">首先，文章没有提供关于药品定价谈判过程中可能存在的利益冲突或政府与制药公司之间的不平等关系的讨论。由于缺乏这方面的信息，读者可能无法全面了解到底是如何进行这些谈判以及是否存在任何潜在的偏袒或不公正行为。</w:t>
      </w:r>
    </w:p>
    <w:p>
      <w:pPr>
        <w:jc w:val="both"/>
      </w:pPr>
      <w:r>
        <w:rPr/>
        <w:t xml:space="preserve"/>
      </w:r>
    </w:p>
    <w:p>
      <w:pPr>
        <w:jc w:val="both"/>
      </w:pPr>
      <w:r>
        <w:rPr/>
        <w:t xml:space="preserve">其次，文章只报道了成功纳入国家医保药品目录（NRDL）的药品，并称它们大多数是具有高临床价值的新上市药物，并且超过一半由中国企业生产。然而，文章没有提供关于未能纳入NRDL的药物情况以及原因的信息。这种片面报道可能导致读者对整个谈判结果形成不完整或误导性的印象。</w:t>
      </w:r>
    </w:p>
    <w:p>
      <w:pPr>
        <w:jc w:val="both"/>
      </w:pPr>
      <w:r>
        <w:rPr/>
        <w:t xml:space="preserve"/>
      </w:r>
    </w:p>
    <w:p>
      <w:pPr>
        <w:jc w:val="both"/>
      </w:pPr>
      <w:r>
        <w:rPr/>
        <w:t xml:space="preserve">此外，文章声称通过谈判将专利药物纳入NRDL不仅有助于减轻患者经济负担，还鼓励制药公司进行创新。然而，文章没有提供任何证据来支持这一主张。事实上，在某些情况下，将专利药物纳入NRDL可能会对创新产生负面影响，因为制药公司可能会担心降价后的利润减少而减少研发投入。</w:t>
      </w:r>
    </w:p>
    <w:p>
      <w:pPr>
        <w:jc w:val="both"/>
      </w:pPr>
      <w:r>
        <w:rPr/>
        <w:t xml:space="preserve"/>
      </w:r>
    </w:p>
    <w:p>
      <w:pPr>
        <w:jc w:val="both"/>
      </w:pPr>
      <w:r>
        <w:rPr/>
        <w:t xml:space="preserve">最后，文章没有探讨药品定价谈判可能带来的风险和挑战。例如，如果价格下降过快或过多，制药公司可能会减少在中国市场的供应或选择不再将新药引入该市场。这可能导致患者无法获得最新的治疗选择，并对医疗保健系统造成负面影响。</w:t>
      </w:r>
    </w:p>
    <w:p>
      <w:pPr>
        <w:jc w:val="both"/>
      </w:pPr>
      <w:r>
        <w:rPr/>
        <w:t xml:space="preserve"/>
      </w:r>
    </w:p>
    <w:p>
      <w:pPr>
        <w:jc w:val="both"/>
      </w:pPr>
      <w:r>
        <w:rPr/>
        <w:t xml:space="preserve">总之，这篇文章在报道中国药品定价谈判进展方面存在一些潜在的偏见和不足之处。它需要更全面地呈现双方的观点，并提供更多关于谈判过程、未纳入NRDL的药物情况以及可能存在的风险和挑战的信息。</w:t>
      </w:r>
    </w:p>
    <w:p>
      <w:pPr>
        <w:pStyle w:val="Heading1"/>
      </w:pPr>
      <w:bookmarkStart w:id="5" w:name="_Toc5"/>
      <w:r>
        <w:t>Topics for further research:</w:t>
      </w:r>
      <w:bookmarkEnd w:id="5"/>
    </w:p>
    <w:p>
      <w:pPr>
        <w:spacing w:after="0"/>
        <w:numPr>
          <w:ilvl w:val="0"/>
          <w:numId w:val="2"/>
        </w:numPr>
      </w:pPr>
      <w:r>
        <w:rPr/>
        <w:t xml:space="preserve">药品定价谈判利益冲突
</w:t>
      </w:r>
    </w:p>
    <w:p>
      <w:pPr>
        <w:spacing w:after="0"/>
        <w:numPr>
          <w:ilvl w:val="0"/>
          <w:numId w:val="2"/>
        </w:numPr>
      </w:pPr>
      <w:r>
        <w:rPr/>
        <w:t xml:space="preserve">政府与制药公司关系不平等
</w:t>
      </w:r>
    </w:p>
    <w:p>
      <w:pPr>
        <w:spacing w:after="0"/>
        <w:numPr>
          <w:ilvl w:val="0"/>
          <w:numId w:val="2"/>
        </w:numPr>
      </w:pPr>
      <w:r>
        <w:rPr/>
        <w:t xml:space="preserve">未纳入NRDL的药物情况和原因
</w:t>
      </w:r>
    </w:p>
    <w:p>
      <w:pPr>
        <w:spacing w:after="0"/>
        <w:numPr>
          <w:ilvl w:val="0"/>
          <w:numId w:val="2"/>
        </w:numPr>
      </w:pPr>
      <w:r>
        <w:rPr/>
        <w:t xml:space="preserve">谈判结果的完整性和准确性
</w:t>
      </w:r>
    </w:p>
    <w:p>
      <w:pPr>
        <w:spacing w:after="0"/>
        <w:numPr>
          <w:ilvl w:val="0"/>
          <w:numId w:val="2"/>
        </w:numPr>
      </w:pPr>
      <w:r>
        <w:rPr/>
        <w:t xml:space="preserve">专利药物纳入NRDL对创新的影响
</w:t>
      </w:r>
    </w:p>
    <w:p>
      <w:pPr>
        <w:numPr>
          <w:ilvl w:val="0"/>
          <w:numId w:val="2"/>
        </w:numPr>
      </w:pPr>
      <w:r>
        <w:rPr/>
        <w:t xml:space="preserve">药品定价谈判的风险和挑战</w:t>
      </w:r>
    </w:p>
    <w:p>
      <w:pPr>
        <w:pStyle w:val="Heading1"/>
      </w:pPr>
      <w:bookmarkStart w:id="6" w:name="_Toc6"/>
      <w:r>
        <w:t>Report location:</w:t>
      </w:r>
      <w:bookmarkEnd w:id="6"/>
    </w:p>
    <w:p>
      <w:hyperlink r:id="rId8" w:history="1">
        <w:r>
          <w:rPr>
            <w:color w:val="2980b9"/>
            <w:u w:val="single"/>
          </w:rPr>
          <w:t xml:space="preserve">https://www.fullpicture.app/item/3029650c72cebf6b4f7c6788061d8452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99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age.jst.go.jp/article/bst/13/6/13_2019.01339/_article" TargetMode="External"/><Relationship Id="rId8" Type="http://schemas.openxmlformats.org/officeDocument/2006/relationships/hyperlink" Target="https://www.fullpicture.app/item/3029650c72cebf6b4f7c6788061d84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2024-06-01T18:54:38+02:00</dcterms:created>
  <dcterms:modified xsi:type="dcterms:W3CDTF">2024-06-01T18:54:38+02:00</dcterms:modified>
</cp:coreProperties>
</file>

<file path=docProps/custom.xml><?xml version="1.0" encoding="utf-8"?>
<Properties xmlns="http://schemas.openxmlformats.org/officeDocument/2006/custom-properties" xmlns:vt="http://schemas.openxmlformats.org/officeDocument/2006/docPropsVTypes"/>
</file>