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接受连续肾脏替代治疗的 COVID-19 患者的抗凝策略和滤过期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https://www.ncbi.nlm.nih.gov/pmc/articles/PMC7792651/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由于COVID-19危重症患者的增加，提供连续肾脏替代治疗（CRRT）的能力可能会不堪重负。</w:t>
      </w:r>
    </w:p>
    <w:p>
      <w:pPr>
        <w:jc w:val="both"/>
      </w:pPr>
      <w:r>
        <w:rPr/>
        <w:t xml:space="preserve">2. COVID-19患者中观察到的高凝状态加剧了资源紧缩问题，导致CRRT回路频繁凝血。</w:t>
      </w:r>
    </w:p>
    <w:p>
      <w:pPr>
        <w:jc w:val="both"/>
      </w:pPr>
      <w:r>
        <w:rPr/>
        <w:t xml:space="preserve">3. 在这项研究中，作者描述了他们在COVID-19患者中使用不同抗凝方案进行CRRT的经验，并分析了各种抗凝方案对回路凝血的影响。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这篇文章主要讨论了在COVID-19患者中使用连续肾脏替代治疗（CRRT）时的抗凝策略和滤过期。然而，文章存在一些潜在的偏见和问题。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首先，文章提到由于COVID-19危重症患者数量的增加，提供CRRT的能力可能会不堪重负。然而，没有提供任何数据或证据来支持这个说法。这种断言可能是基于作者的主观观察或经验，并没有进行充分的调查和分析。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其次，文章指出COVID-19患者中观察到的高凝状态加剧了资源紧缩问题。然而，没有提供任何数据或研究结果来支持这个说法。作者只是简单地引用了其他文献中的观点，但没有给出具体证据。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他们使用的抗凝方案时，作者并未提及是否有比较不同方案之间效果差异的研究结果。他们只是简单地列举了使用不同抗凝药物的患者人数，并没有对其效果进行评估或比较。因此，无法确定哪种抗凝方案更有效或更安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缺乏对可能风险和副作用的全面讨论。虽然提到了使用抗凝药物可能导致失血和资源浪费，但没有详细说明这些风险的程度或频率。此外，文章也没有探讨使用不同抗凝方案可能导致的其他副作用或并发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最后，文章没有平等地呈现双方观点。它只关注了作者所采用的抗凝策略，并未探讨其他可能的选择或观点。这种片面报道可能会导致读者对问题的理解不完整或有偏见。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总体而言，这篇文章存在一些潜在的偏见和问题，包括缺乏数据支持、片面报道、未探索其他观点和风险、缺乏证据支持等。读者应该谨慎对待其中提出的主张，并寻找更全面和客观的信息来做出判断。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COVID-19患者中CRRT的能力是否不堪重负的数据或证据
</w:t>
      </w:r>
    </w:p>
    <w:p>
      <w:pPr>
        <w:spacing w:after="0"/>
        <w:numPr>
          <w:ilvl w:val="0"/>
          <w:numId w:val="2"/>
        </w:numPr>
      </w:pPr>
      <w:r>
        <w:rPr/>
        <w:t xml:space="preserve">COVID-19患者中高凝状态加剧资源紧缩问题的数据或研究结果
</w:t>
      </w:r>
    </w:p>
    <w:p>
      <w:pPr>
        <w:spacing w:after="0"/>
        <w:numPr>
          <w:ilvl w:val="0"/>
          <w:numId w:val="2"/>
        </w:numPr>
      </w:pPr>
      <w:r>
        <w:rPr/>
        <w:t xml:space="preserve">不同抗凝方案之间效果差异的研究结果
</w:t>
      </w:r>
    </w:p>
    <w:p>
      <w:pPr>
        <w:spacing w:after="0"/>
        <w:numPr>
          <w:ilvl w:val="0"/>
          <w:numId w:val="2"/>
        </w:numPr>
      </w:pPr>
      <w:r>
        <w:rPr/>
        <w:t xml:space="preserve">使用抗凝药物可能导致的失血和资源浪费的程度或频率
</w:t>
      </w:r>
    </w:p>
    <w:p>
      <w:pPr>
        <w:spacing w:after="0"/>
        <w:numPr>
          <w:ilvl w:val="0"/>
          <w:numId w:val="2"/>
        </w:numPr>
      </w:pPr>
      <w:r>
        <w:rPr/>
        <w:t xml:space="preserve">使用不同抗凝方案可能导致的其他副作用或并发症
</w:t>
      </w:r>
    </w:p>
    <w:p>
      <w:pPr>
        <w:numPr>
          <w:ilvl w:val="0"/>
          <w:numId w:val="2"/>
        </w:numPr>
      </w:pPr>
      <w:r>
        <w:rPr/>
        <w:t xml:space="preserve">其他可能的抗凝策略或观点的探讨和讨论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https://www.fullpicture.app/item/3082f1942b0af4e280c66052dbf2ff43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B9D8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792651/" TargetMode="External"/><Relationship Id="rId8" Type="http://schemas.openxmlformats.org/officeDocument/2006/relationships/hyperlink" Target="https://www.fullpicture.app/item/3082f1942b0af4e280c66052dbf2ff4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2024-04-01T10:14:34+02:00</dcterms:created>
  <dcterms:modified xsi:type="dcterms:W3CDTF">2024-04-01T10:14:34+02:00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