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$35B Of Securitized Debt On Multifamily Properties Scheduled To Mature In 2023</w:t>
      </w:r>
      <w:br/>
      <w:hyperlink r:id="rId7" w:history="1">
        <w:r>
          <w:rPr>
            <w:color w:val="2980b9"/>
            <w:u w:val="single"/>
          </w:rPr>
          <w:t xml:space="preserve">https://www.bisnow.com/national/news/capital-markets/25b-of-securitized-debt-on-multifamily-properties-scheduled-to-mature-in-2023-117441</w:t>
        </w:r>
      </w:hyperlink>
    </w:p>
    <w:p>
      <w:pPr>
        <w:pStyle w:val="Heading1"/>
      </w:pPr>
      <w:bookmarkStart w:id="2" w:name="_Toc2"/>
      <w:r>
        <w:t>Article summary:</w:t>
      </w:r>
      <w:bookmarkEnd w:id="2"/>
    </w:p>
    <w:p>
      <w:pPr>
        <w:jc w:val="both"/>
      </w:pPr>
      <w:r>
        <w:rPr/>
        <w:t xml:space="preserve">1. Cineworld is renegotiating leases with its two biggest landlords and nearing a debt-for-equity deal to exit bankruptcy.</w:t>
      </w:r>
    </w:p>
    <w:p>
      <w:pPr>
        <w:jc w:val="both"/>
      </w:pPr>
      <w:r>
        <w:rPr/>
        <w:t xml:space="preserve">2. High-rise apartment planned for former Women’s Center HQ, states look to ban Chinese real estate investment, and CRE companies shirk state funds for EV infrastructure growth.</w:t>
      </w:r>
    </w:p>
    <w:p>
      <w:pPr>
        <w:jc w:val="both"/>
      </w:pPr>
      <w:r>
        <w:rPr/>
        <w:t xml:space="preserve">3. Brookfield launching new real estate fund after raising $93B last year, Columbia Property cuts bait on Midtown South building backed out of by Wework.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the facts presented, however there are some potential biases that should be noted. The article does not explore any counterarguments or present both sides equally when discussing the potential ban on Chinese real estate investment, which could be seen as promoting a one-sided view of the issue. Additionally, there is no evidence provided to support the claims made about Cineworld's negotiations with its two biggest landlords or Brookfield's success in raising $93B last year. Furthermore, the article does not mention any possible risks associated with investing in real estate or discuss any other potential issues that may arise from these deals. In conclusion, while the article provides factual information about various real estate deals and investments, it fails to provide an unbiased view of the situation and lacks evidence to support its claims.</w:t>
      </w:r>
    </w:p>
    <w:p>
      <w:pPr>
        <w:pStyle w:val="Heading1"/>
      </w:pPr>
      <w:bookmarkStart w:id="5" w:name="_Toc5"/>
      <w:r>
        <w:t>Topics for further research:</w:t>
      </w:r>
      <w:bookmarkEnd w:id="5"/>
    </w:p>
    <w:p>
      <w:pPr>
        <w:spacing w:after="0"/>
        <w:numPr>
          <w:ilvl w:val="0"/>
          <w:numId w:val="2"/>
        </w:numPr>
      </w:pPr>
      <w:r>
        <w:rPr/>
        <w:t xml:space="preserve">Chinese real estate investment risks</w:t>
      </w:r>
    </w:p>
    <w:p>
      <w:pPr>
        <w:spacing w:after="0"/>
        <w:numPr>
          <w:ilvl w:val="0"/>
          <w:numId w:val="2"/>
        </w:numPr>
      </w:pPr>
      <w:r>
        <w:rPr/>
        <w:t xml:space="preserve">Counterarguments to Chinese real estate investment ban</w:t>
      </w:r>
    </w:p>
    <w:p>
      <w:pPr>
        <w:spacing w:after="0"/>
        <w:numPr>
          <w:ilvl w:val="0"/>
          <w:numId w:val="2"/>
        </w:numPr>
      </w:pPr>
      <w:r>
        <w:rPr/>
        <w:t xml:space="preserve">Cineworld landlord negotiations</w:t>
      </w:r>
    </w:p>
    <w:p>
      <w:pPr>
        <w:spacing w:after="0"/>
        <w:numPr>
          <w:ilvl w:val="0"/>
          <w:numId w:val="2"/>
        </w:numPr>
      </w:pPr>
      <w:r>
        <w:rPr/>
        <w:t xml:space="preserve">Brookfield Asset Management success</w:t>
      </w:r>
    </w:p>
    <w:p>
      <w:pPr>
        <w:spacing w:after="0"/>
        <w:numPr>
          <w:ilvl w:val="0"/>
          <w:numId w:val="2"/>
        </w:numPr>
      </w:pPr>
      <w:r>
        <w:rPr/>
        <w:t xml:space="preserve">Real estate investment pros and cons</w:t>
      </w:r>
    </w:p>
    <w:p>
      <w:pPr>
        <w:numPr>
          <w:ilvl w:val="0"/>
          <w:numId w:val="2"/>
        </w:numPr>
      </w:pPr>
      <w:r>
        <w:rPr/>
        <w:t xml:space="preserve">Potential issues with real estate deals</w:t>
      </w:r>
    </w:p>
    <w:p>
      <w:pPr>
        <w:pStyle w:val="Heading1"/>
      </w:pPr>
      <w:bookmarkStart w:id="6" w:name="_Toc6"/>
      <w:r>
        <w:t>Report location:</w:t>
      </w:r>
      <w:bookmarkEnd w:id="6"/>
    </w:p>
    <w:p>
      <w:hyperlink r:id="rId8" w:history="1">
        <w:r>
          <w:rPr>
            <w:color w:val="2980b9"/>
            <w:u w:val="single"/>
          </w:rPr>
          <w:t xml:space="preserve">https://www.fullpicture.app/item/3123404378cdfb3e527c029b5fda3afd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D26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snow.com/national/news/capital-markets/25b-of-securitized-debt-on-multifamily-properties-scheduled-to-mature-in-2023-117441" TargetMode="External"/><Relationship Id="rId8" Type="http://schemas.openxmlformats.org/officeDocument/2006/relationships/hyperlink" Target="https://www.fullpicture.app/item/3123404378cdfb3e527c029b5fda3a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2023-02-23T21:47:13+01:00</dcterms:created>
  <dcterms:modified xsi:type="dcterms:W3CDTF">2023-02-23T21:47:13+01:00</dcterms:modified>
</cp:coreProperties>
</file>

<file path=docProps/custom.xml><?xml version="1.0" encoding="utf-8"?>
<Properties xmlns="http://schemas.openxmlformats.org/officeDocument/2006/custom-properties" xmlns:vt="http://schemas.openxmlformats.org/officeDocument/2006/docPropsVTypes"/>
</file>