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Regulation of AtKUP2 Expression by bHLH and WRKY Transcription Factors Helps to Confer Increased Salt Tolerance to Arabidopsis thaliana Plants</w:t>
      </w:r>
      <w:br/>
      <w:hyperlink r:id="rId7" w:history="1">
        <w:r>
          <w:rPr>
            <w:color w:val="2980b9"/>
            <w:u w:val="single"/>
          </w:rPr>
          <w:t xml:space="preserve">https://www.frontiersin.org/articles/10.3389/fpls.2020.01311/full</w:t>
        </w:r>
      </w:hyperlink>
    </w:p>
    <w:p>
      <w:pPr>
        <w:pStyle w:val="Heading1"/>
      </w:pPr>
      <w:bookmarkStart w:id="2" w:name="_Toc2"/>
      <w:r>
        <w:t>Article summary:</w:t>
      </w:r>
      <w:bookmarkEnd w:id="2"/>
    </w:p>
    <w:p>
      <w:pPr>
        <w:jc w:val="both"/>
      </w:pPr>
      <w:r>
        <w:rPr/>
        <w:t xml:space="preserve">1. 盐胁迫对植物的影响：高盐浓度会干扰植物细胞代谢，导致渗透胁迫和有毒离子在细胞内的持续积累，进而引发氧化应激和营养失衡。</w:t>
      </w:r>
    </w:p>
    <w:p>
      <w:pPr>
        <w:jc w:val="both"/>
      </w:pPr>
      <w:r>
        <w:rPr/>
        <w:t xml:space="preserve">2. 离子传输对离子稳态的调控：离子传输是控制植物离子稳态的关键步骤，包括根细胞质膜或液泡膜上的离子转运以及通过木质部和韧皮部实现盐的积累和排泄。</w:t>
      </w:r>
    </w:p>
    <w:p>
      <w:pPr>
        <w:jc w:val="both"/>
      </w:pPr>
      <w:r>
        <w:rPr/>
        <w:t xml:space="preserve">3. KUP转运蛋白在盐耐性中的作用：KUP/HAK/KT转运蛋白家族在植物中起着重要作用，它们参与根系钾吸收、内部钾移动以及钾外流等过程，从而维持离子稳态并提高盐耐性。</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潜在偏见及其来源：文章没有明确提到作者的背景和利益相关方，这可能导致潜在的偏见。如果作者有与研究主题相关的特定观点或立场，他们可能会选择性地呈现数据和信息，以支持自己的观点。</w:t>
      </w:r>
    </w:p>
    <w:p>
      <w:pPr>
        <w:jc w:val="both"/>
      </w:pPr>
      <w:r>
        <w:rPr/>
        <w:t xml:space="preserve"/>
      </w:r>
    </w:p>
    <w:p>
      <w:pPr>
        <w:jc w:val="both"/>
      </w:pPr>
      <w:r>
        <w:rPr/>
        <w:t xml:space="preserve">2. 片面报道：文章只关注了bHLH和WRKY转录因子对AtKUP2表达的调控作用，而没有提及其他可能参与该过程的因素。这种片面报道可能导致读者对整个机制的理解不完整。</w:t>
      </w:r>
    </w:p>
    <w:p>
      <w:pPr>
        <w:jc w:val="both"/>
      </w:pPr>
      <w:r>
        <w:rPr/>
        <w:t xml:space="preserve"/>
      </w:r>
    </w:p>
    <w:p>
      <w:pPr>
        <w:jc w:val="both"/>
      </w:pPr>
      <w:r>
        <w:rPr/>
        <w:t xml:space="preserve">3. 无根据的主张：文章中提到维持细胞内外钠离子平衡是通过限制Na+和Cl-摄取来实现的，但并未提供具体证据支持这一观点。缺乏实验证据使得这些主张缺乏可信度。</w:t>
      </w:r>
    </w:p>
    <w:p>
      <w:pPr>
        <w:jc w:val="both"/>
      </w:pPr>
      <w:r>
        <w:rPr/>
        <w:t xml:space="preserve"/>
      </w:r>
    </w:p>
    <w:p>
      <w:pPr>
        <w:jc w:val="both"/>
      </w:pPr>
      <w:r>
        <w:rPr/>
        <w:t xml:space="preserve">4. 缺失的考虑点：文章没有讨论其他可能影响植物耐盐性的因素，如基因表达调控、代谢途径等。忽略了这些重要因素可能导致对植物耐盐性机制的不完整理解。</w:t>
      </w:r>
    </w:p>
    <w:p>
      <w:pPr>
        <w:jc w:val="both"/>
      </w:pPr>
      <w:r>
        <w:rPr/>
        <w:t xml:space="preserve"/>
      </w:r>
    </w:p>
    <w:p>
      <w:pPr>
        <w:jc w:val="both"/>
      </w:pPr>
      <w:r>
        <w:rPr/>
        <w:t xml:space="preserve">5. 所提出主张的缺失证据：尽管文章声称bHLH和WRKY转录因子对AtKUP2表达的调控有助于提高植物的耐盐性，但并未提供实验证据来支持这一主张。缺乏实验证据使得这一主张缺乏可信度。</w:t>
      </w:r>
    </w:p>
    <w:p>
      <w:pPr>
        <w:jc w:val="both"/>
      </w:pPr>
      <w:r>
        <w:rPr/>
        <w:t xml:space="preserve"/>
      </w:r>
    </w:p>
    <w:p>
      <w:pPr>
        <w:jc w:val="both"/>
      </w:pPr>
      <w:r>
        <w:rPr/>
        <w:t xml:space="preserve">6. 未探索的反驳：文章没有讨论可能与其主张相矛盾的研究结果或观点。通过探索不同观点和证据，可以更全面地评估该主张的可靠性。</w:t>
      </w:r>
    </w:p>
    <w:p>
      <w:pPr>
        <w:jc w:val="both"/>
      </w:pPr>
      <w:r>
        <w:rPr/>
        <w:t xml:space="preserve"/>
      </w:r>
    </w:p>
    <w:p>
      <w:pPr>
        <w:jc w:val="both"/>
      </w:pPr>
      <w:r>
        <w:rPr/>
        <w:t xml:space="preserve">7. 宣传内容：文章中存在一些宣传性语言，如将AtKUP2表达调控描述为“增加植物耐盐性”的手段。这种宣传性语言可能会影响读者对研究结果的客观评估。</w:t>
      </w:r>
    </w:p>
    <w:p>
      <w:pPr>
        <w:jc w:val="both"/>
      </w:pPr>
      <w:r>
        <w:rPr/>
        <w:t xml:space="preserve"/>
      </w:r>
    </w:p>
    <w:p>
      <w:pPr>
        <w:jc w:val="both"/>
      </w:pPr>
      <w:r>
        <w:rPr/>
        <w:t xml:space="preserve">综上所述，上述文章存在一些问题，包括潜在偏见、片面报道、无根据的主张、缺失的考虑点、所提出主张的缺失证据、未探索的反驳和宣传内容。对于一个更全面和客观的理解，需要进一步研究和探讨相关领域中其他因素和观点。</w:t>
      </w:r>
    </w:p>
    <w:p>
      <w:pPr>
        <w:pStyle w:val="Heading1"/>
      </w:pPr>
      <w:bookmarkStart w:id="5" w:name="_Toc5"/>
      <w:r>
        <w:t>Topics for further research:</w:t>
      </w:r>
      <w:bookmarkEnd w:id="5"/>
    </w:p>
    <w:p>
      <w:pPr>
        <w:spacing w:after="0"/>
        <w:numPr>
          <w:ilvl w:val="0"/>
          <w:numId w:val="2"/>
        </w:numPr>
      </w:pPr>
      <w:r>
        <w:rPr/>
        <w:t xml:space="preserve">作者背景和利益相关方
</w:t>
      </w:r>
    </w:p>
    <w:p>
      <w:pPr>
        <w:spacing w:after="0"/>
        <w:numPr>
          <w:ilvl w:val="0"/>
          <w:numId w:val="2"/>
        </w:numPr>
      </w:pPr>
      <w:r>
        <w:rPr/>
        <w:t xml:space="preserve">其他可能参与该过程的因素
</w:t>
      </w:r>
    </w:p>
    <w:p>
      <w:pPr>
        <w:spacing w:after="0"/>
        <w:numPr>
          <w:ilvl w:val="0"/>
          <w:numId w:val="2"/>
        </w:numPr>
      </w:pPr>
      <w:r>
        <w:rPr/>
        <w:t xml:space="preserve">维持细胞内外钠离子平衡的具体证据
</w:t>
      </w:r>
    </w:p>
    <w:p>
      <w:pPr>
        <w:spacing w:after="0"/>
        <w:numPr>
          <w:ilvl w:val="0"/>
          <w:numId w:val="2"/>
        </w:numPr>
      </w:pPr>
      <w:r>
        <w:rPr/>
        <w:t xml:space="preserve">其他可能影响植物耐盐性的因素
</w:t>
      </w:r>
    </w:p>
    <w:p>
      <w:pPr>
        <w:spacing w:after="0"/>
        <w:numPr>
          <w:ilvl w:val="0"/>
          <w:numId w:val="2"/>
        </w:numPr>
      </w:pPr>
      <w:r>
        <w:rPr/>
        <w:t xml:space="preserve">bHLH和WRKY转录因子对AtKUP2表达调控的实验证据
</w:t>
      </w:r>
    </w:p>
    <w:p>
      <w:pPr>
        <w:numPr>
          <w:ilvl w:val="0"/>
          <w:numId w:val="2"/>
        </w:numPr>
      </w:pPr>
      <w:r>
        <w:rPr/>
        <w:t xml:space="preserve">与该主张相矛盾的研究结果或观点</w:t>
      </w:r>
    </w:p>
    <w:p>
      <w:pPr>
        <w:pStyle w:val="Heading1"/>
      </w:pPr>
      <w:bookmarkStart w:id="6" w:name="_Toc6"/>
      <w:r>
        <w:t>Report location:</w:t>
      </w:r>
      <w:bookmarkEnd w:id="6"/>
    </w:p>
    <w:p>
      <w:hyperlink r:id="rId8" w:history="1">
        <w:r>
          <w:rPr>
            <w:color w:val="2980b9"/>
            <w:u w:val="single"/>
          </w:rPr>
          <w:t xml:space="preserve">https://www.fullpicture.app/item/31a11c3e59a841777f1222249bfd3298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3C92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pls.2020.01311/full" TargetMode="External"/><Relationship Id="rId8" Type="http://schemas.openxmlformats.org/officeDocument/2006/relationships/hyperlink" Target="https://www.fullpicture.app/item/31a11c3e59a841777f1222249bfd329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2023-12-23T17:20:45+01:00</dcterms:created>
  <dcterms:modified xsi:type="dcterms:W3CDTF">2023-12-23T17:20:45+01:00</dcterms:modified>
</cp:coreProperties>
</file>

<file path=docProps/custom.xml><?xml version="1.0" encoding="utf-8"?>
<Properties xmlns="http://schemas.openxmlformats.org/officeDocument/2006/custom-properties" xmlns:vt="http://schemas.openxmlformats.org/officeDocument/2006/docPropsVTypes"/>
</file>