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投资者尽职调查新兴实践：授予权力、可吸收性和优点| 施普林格链接</w:t>
      </w:r>
      <w:br/>
      <w:hyperlink r:id="rId7" w:history="1">
        <w:r>
          <w:rPr>
            <w:color w:val="2980b9"/>
            <w:u w:val="single"/>
          </w:rPr>
          <w:t xml:space="preserve">https://webvpn.xmu.edu.cn/https/77726476706e69737468656265737421fcfe4f976923784277068ea98a1b203a54/referenceworkentry/10.1007/978-981-13-5744-2_18-1</w:t>
        </w:r>
      </w:hyperlink>
    </w:p>
    <w:p>
      <w:pPr>
        <w:pStyle w:val="Heading1"/>
      </w:pPr>
      <w:bookmarkStart w:id="2" w:name="_Toc2"/>
      <w:r>
        <w:t>Article summary:</w:t>
      </w:r>
      <w:bookmarkEnd w:id="2"/>
    </w:p>
    <w:p>
      <w:pPr>
        <w:jc w:val="both"/>
      </w:pPr>
      <w:r>
        <w:rPr/>
        <w:t xml:space="preserve">1. 投资者尽职调查是解决投资条约仲裁合法性危机的新兴实践。文章指出，投资者与国家仲裁庭对投资条约仲裁的问题做出回应，其中包括管辖权、可受理性和案情阶段逐步发展的投资者尽职调查概念。</w:t>
      </w:r>
    </w:p>
    <w:p>
      <w:pPr>
        <w:jc w:val="both"/>
      </w:pPr>
      <w:r>
        <w:rPr/>
        <w:t xml:space="preserve">2. 不对称批评是影响投资者尽职调查发展的重要因素。文章提到，不对称批评强调现有投资保护条约赋予了投资者权利但没有赋予义务，同时对国家强加义务但没有附带权利。这种不平衡导致了合法性危机。</w:t>
      </w:r>
    </w:p>
    <w:p>
      <w:pPr>
        <w:jc w:val="both"/>
      </w:pPr>
      <w:r>
        <w:rPr/>
        <w:t xml:space="preserve">3. 投资者尽职调查是对不对称批评的回应，但还不够。文章指出，虽然投资者尽职调查是必要的回应，但还需要进一步探讨和解决不对称批评所引发的问题。</w:t>
      </w:r>
    </w:p>
    <w:p>
      <w:pPr>
        <w:jc w:val="both"/>
      </w:pPr>
      <w:r>
        <w:rPr/>
        <w:t xml:space="preserve"/>
      </w:r>
    </w:p>
    <w:p>
      <w:pPr>
        <w:jc w:val="both"/>
      </w:pPr>
      <w:r>
        <w:rPr/>
        <w:t xml:space="preserve">总结：本文主要介绍了投资者尽职调查作为解决投资条约仲裁合法性危机的新兴实践，并探讨了不对称批评在该领域中的影响。文章认为虽然投资者尽职调查是一种回应，但还需要进一步解决不对称批评所带来的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这篇文章主要讨论了投资者尽职调查在解决投资条约仲裁中的新兴实践。然而，文章存在一些问题和偏见。</w:t>
      </w:r>
    </w:p>
    <w:p>
      <w:pPr>
        <w:jc w:val="both"/>
      </w:pPr>
      <w:r>
        <w:rPr/>
        <w:t xml:space="preserve"/>
      </w:r>
    </w:p>
    <w:p>
      <w:pPr>
        <w:jc w:val="both"/>
      </w:pPr>
      <w:r>
        <w:rPr/>
        <w:t xml:space="preserve">首先，文章没有提供足够的证据来支持其观点。它只是简单地声称投资仲裁缺乏合法性，并引用了一些不对称批评的观点，但没有提供具体的案例或数据来支持这些观点。这使得读者很难相信作者的说法。</w:t>
      </w:r>
    </w:p>
    <w:p>
      <w:pPr>
        <w:jc w:val="both"/>
      </w:pPr>
      <w:r>
        <w:rPr/>
        <w:t xml:space="preserve"/>
      </w:r>
    </w:p>
    <w:p>
      <w:pPr>
        <w:jc w:val="both"/>
      </w:pPr>
      <w:r>
        <w:rPr/>
        <w:t xml:space="preserve">其次，文章可能存在片面报道的问题。它只关注了投资者尽职调查作为解决不对称性批评的一种方法，而忽略了其他可能的解决方案。这可能导致读者对整个问题的理解不完整。</w:t>
      </w:r>
    </w:p>
    <w:p>
      <w:pPr>
        <w:jc w:val="both"/>
      </w:pPr>
      <w:r>
        <w:rPr/>
        <w:t xml:space="preserve"/>
      </w:r>
    </w:p>
    <w:p>
      <w:pPr>
        <w:jc w:val="both"/>
      </w:pPr>
      <w:r>
        <w:rPr/>
        <w:t xml:space="preserve">此外，文章似乎没有考虑到可能存在的风险和负面影响。它只强调了投资者尽职调查作为回应不对称批评的必要性，但没有探讨其潜在风险和副作用。这可能导致读者对该方法的效果和可行性产生怀疑。</w:t>
      </w:r>
    </w:p>
    <w:p>
      <w:pPr>
        <w:jc w:val="both"/>
      </w:pPr>
      <w:r>
        <w:rPr/>
        <w:t xml:space="preserve"/>
      </w:r>
    </w:p>
    <w:p>
      <w:pPr>
        <w:jc w:val="both"/>
      </w:pPr>
      <w:r>
        <w:rPr/>
        <w:t xml:space="preserve">最后，文章似乎偏袒了投资者一方，并未平等地呈现双方的观点和利益。它将注意力集中在投资者尽职调查的重要性上，而忽略了国家的权益和责任。这可能导致读者对整个问题的理解产生偏见。</w:t>
      </w:r>
    </w:p>
    <w:p>
      <w:pPr>
        <w:jc w:val="both"/>
      </w:pPr>
      <w:r>
        <w:rPr/>
        <w:t xml:space="preserve"/>
      </w:r>
    </w:p>
    <w:p>
      <w:pPr>
        <w:jc w:val="both"/>
      </w:pPr>
      <w:r>
        <w:rPr/>
        <w:t xml:space="preserve">综上所述，这篇文章存在一些问题和偏见，包括缺乏证据支持、片面报道、未考虑风险和偏袒投资者一方。读者应该对其内容保持批判性思维，并寻找更全面和客观的信息来了解投资条约仲裁及其相关问题。</w:t>
      </w:r>
    </w:p>
    <w:p>
      <w:pPr>
        <w:pStyle w:val="Heading1"/>
      </w:pPr>
      <w:bookmarkStart w:id="5" w:name="_Toc5"/>
      <w:r>
        <w:t>Topics for further research:</w:t>
      </w:r>
      <w:bookmarkEnd w:id="5"/>
    </w:p>
    <w:p>
      <w:pPr>
        <w:spacing w:after="0"/>
        <w:numPr>
          <w:ilvl w:val="0"/>
          <w:numId w:val="2"/>
        </w:numPr>
      </w:pPr>
      <w:r>
        <w:rPr/>
        <w:t xml:space="preserve">投资仲裁的合法性和公正性
</w:t>
      </w:r>
    </w:p>
    <w:p>
      <w:pPr>
        <w:spacing w:after="0"/>
        <w:numPr>
          <w:ilvl w:val="0"/>
          <w:numId w:val="2"/>
        </w:numPr>
      </w:pPr>
      <w:r>
        <w:rPr/>
        <w:t xml:space="preserve">投资仲裁的不对称性批评
</w:t>
      </w:r>
    </w:p>
    <w:p>
      <w:pPr>
        <w:spacing w:after="0"/>
        <w:numPr>
          <w:ilvl w:val="0"/>
          <w:numId w:val="2"/>
        </w:numPr>
      </w:pPr>
      <w:r>
        <w:rPr/>
        <w:t xml:space="preserve">其他解决不对称性批评的方法
</w:t>
      </w:r>
    </w:p>
    <w:p>
      <w:pPr>
        <w:spacing w:after="0"/>
        <w:numPr>
          <w:ilvl w:val="0"/>
          <w:numId w:val="2"/>
        </w:numPr>
      </w:pPr>
      <w:r>
        <w:rPr/>
        <w:t xml:space="preserve">投资者尽职调查的风险和副作用
</w:t>
      </w:r>
    </w:p>
    <w:p>
      <w:pPr>
        <w:spacing w:after="0"/>
        <w:numPr>
          <w:ilvl w:val="0"/>
          <w:numId w:val="2"/>
        </w:numPr>
      </w:pPr>
      <w:r>
        <w:rPr/>
        <w:t xml:space="preserve">国家的权益和责任在投资仲裁中的地位
</w:t>
      </w:r>
    </w:p>
    <w:p>
      <w:pPr>
        <w:numPr>
          <w:ilvl w:val="0"/>
          <w:numId w:val="2"/>
        </w:numPr>
      </w:pPr>
      <w:r>
        <w:rPr/>
        <w:t xml:space="preserve">投资条约仲裁的整体效果和可行性</w:t>
      </w:r>
    </w:p>
    <w:p>
      <w:pPr>
        <w:pStyle w:val="Heading1"/>
      </w:pPr>
      <w:bookmarkStart w:id="6" w:name="_Toc6"/>
      <w:r>
        <w:t>Report location:</w:t>
      </w:r>
      <w:bookmarkEnd w:id="6"/>
    </w:p>
    <w:p>
      <w:hyperlink r:id="rId8" w:history="1">
        <w:r>
          <w:rPr>
            <w:color w:val="2980b9"/>
            <w:u w:val="single"/>
          </w:rPr>
          <w:t xml:space="preserve">https://www.fullpicture.app/item/32571a9d2bc2648ca7e9cd8039101845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C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mu.edu.cn/https/77726476706e69737468656265737421fcfe4f976923784277068ea98a1b203a54/referenceworkentry/10.1007/978-981-13-5744-2_18-1" TargetMode="External"/><Relationship Id="rId8" Type="http://schemas.openxmlformats.org/officeDocument/2006/relationships/hyperlink" Target="https://www.fullpicture.app/item/32571a9d2bc2648ca7e9cd8039101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2024-05-22T17:16:18+02:00</dcterms:created>
  <dcterms:modified xsi:type="dcterms:W3CDTF">2024-05-22T17:16:18+02:00</dcterms:modified>
</cp:coreProperties>
</file>

<file path=docProps/custom.xml><?xml version="1.0" encoding="utf-8"?>
<Properties xmlns="http://schemas.openxmlformats.org/officeDocument/2006/custom-properties" xmlns:vt="http://schemas.openxmlformats.org/officeDocument/2006/docPropsVTypes"/>
</file>