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Thematic Review Series: Recent Advances in the Treatment of Lysosomal Storage Diseases: Development of targeted therapies for Parkinson’s disease and related synucleinopathies - PMC</w:t>
      </w:r>
      <w:br/>
      <w:hyperlink r:id="rId7" w:history="1">
        <w:r>
          <w:rPr>
            <w:color w:val="2980b9"/>
            <w:u w:val="single"/>
          </w:rPr>
          <w:t xml:space="preserve">https://www.ncbi.nlm.nih.gov/pmc/articles/PMC4173992/</w:t>
        </w:r>
      </w:hyperlink>
    </w:p>
    <w:p>
      <w:pPr>
        <w:pStyle w:val="Heading1"/>
      </w:pPr>
      <w:bookmarkStart w:id="2" w:name="_Toc2"/>
      <w:r>
        <w:t>Article summary:</w:t>
      </w:r>
      <w:bookmarkEnd w:id="2"/>
    </w:p>
    <w:p>
      <w:pPr>
        <w:jc w:val="both"/>
      </w:pPr>
      <w:r>
        <w:rPr/>
        <w:t xml:space="preserve">1. The article discusses the development of targeted therapies for Parkinson's disease and related synucleinopathies, focusing on the molecular basis of neurodegeneration in Gaucher's disease (GD). Accumulation of α-synuclein is a key factor in the pathogenesis of Parkinson's disease, and improving its clearance may be beneficial for treatment.</w:t>
      </w:r>
    </w:p>
    <w:p>
      <w:pPr>
        <w:jc w:val="both"/>
      </w:pPr>
      <w:r>
        <w:rPr/>
        <w:t xml:space="preserve"/>
      </w:r>
    </w:p>
    <w:p>
      <w:pPr>
        <w:jc w:val="both"/>
      </w:pPr>
      <w:r>
        <w:rPr/>
        <w:t xml:space="preserve">2. The article highlights the link between GD and Parkinson's disease, as both conditions involve lysosomal dysfunction. Mutations in the GBA1 gene, which causes GD, have been found to increase the risk of developing parkinsonism or diffuse Lewy body disease. This suggests that studying lysosomal glucocerebrosidase, an enzyme mutated in GD, could lead to targeted therapies for synucleinopathies.</w:t>
      </w:r>
    </w:p>
    <w:p>
      <w:pPr>
        <w:jc w:val="both"/>
      </w:pPr>
      <w:r>
        <w:rPr/>
        <w:t xml:space="preserve"/>
      </w:r>
    </w:p>
    <w:p>
      <w:pPr>
        <w:jc w:val="both"/>
      </w:pPr>
      <w:r>
        <w:rPr/>
        <w:t xml:space="preserve">3. The article discusses recent advancements in developing targeted treatments for synucleinopathies. While previous compounds lacked the ability to penetrate the central nervous system (CNS) or had off-target effects, selective inhibitors of glycosphingolipid biosynthesis and noninhibitory pharmacological chaperones show promise in overcoming these limitations. These strategies offer potential for developing effective treatments for both children and adults affected by synucleinopathies.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这篇文章是关于治疗溶酶体贮积病的最新进展的综述，重点讨论了针对帕金森病和相关突触核蛋白病的靶向治疗方法。然而，这篇文章存在一些潜在的偏见和问题。</w:t>
      </w:r>
    </w:p>
    <w:p>
      <w:pPr>
        <w:jc w:val="both"/>
      </w:pPr>
      <w:r>
        <w:rPr/>
        <w:t xml:space="preserve"/>
      </w:r>
    </w:p>
    <w:p>
      <w:pPr>
        <w:jc w:val="both"/>
      </w:pPr>
      <w:r>
        <w:rPr/>
        <w:t xml:space="preserve">首先，文章提到神经退行性疾病的治疗非常具有挑战性，主要是因为缺乏经过验证和基于机制的治疗靶点和生物标志物。然而，文章没有提供任何支持这一观点的具体证据或引用相关文献。因此，读者无法确定这个说法是否准确。</w:t>
      </w:r>
    </w:p>
    <w:p>
      <w:pPr>
        <w:jc w:val="both"/>
      </w:pPr>
      <w:r>
        <w:rPr/>
        <w:t xml:space="preserve"/>
      </w:r>
    </w:p>
    <w:p>
      <w:pPr>
        <w:jc w:val="both"/>
      </w:pPr>
      <w:r>
        <w:rPr/>
        <w:t xml:space="preserve">其次，文章提到通过探索格劳希氏细胞增生症（GD）等罕见溶酶体疾病中神经退行性机制的分子基础，可以发现新的治疗靶点。然而，文章没有详细说明如何从GD中发现与α-突触核蛋白清除相关的特定机制和靶点。缺乏具体信息使得读者难以理解作者所提出的观点。</w:t>
      </w:r>
    </w:p>
    <w:p>
      <w:pPr>
        <w:jc w:val="both"/>
      </w:pPr>
      <w:r>
        <w:rPr/>
        <w:t xml:space="preserve"/>
      </w:r>
    </w:p>
    <w:p>
      <w:pPr>
        <w:jc w:val="both"/>
      </w:pPr>
      <w:r>
        <w:rPr/>
        <w:t xml:space="preserve">此外，文章提到GD与帕金森氏症之间存在临床、遗传和病理联系，这为研究GD中的酶葡糖脑苷酰酶提供了机会，以开发突触核蛋白病的靶向治疗方法。然而，文章没有提供任何支持这一观点的具体证据或引用相关文献。读者无法确定GD和帕金森氏症之间的联系是否确实存在。</w:t>
      </w:r>
    </w:p>
    <w:p>
      <w:pPr>
        <w:jc w:val="both"/>
      </w:pPr>
      <w:r>
        <w:rPr/>
        <w:t xml:space="preserve"/>
      </w:r>
    </w:p>
    <w:p>
      <w:pPr>
        <w:jc w:val="both"/>
      </w:pPr>
      <w:r>
        <w:rPr/>
        <w:t xml:space="preserve">此外，文章提到调节葡糖脑苷酰酶和糖脂代谢是治疗与突触核蛋白积累相关的障碍的可行方法。然而，文章没有提供任何关于这些方法如何工作或其效果如何的详细信息。缺乏具体信息使得读者难以评估这些方法的可行性和有效性。</w:t>
      </w:r>
    </w:p>
    <w:p>
      <w:pPr>
        <w:jc w:val="both"/>
      </w:pPr>
      <w:r>
        <w:rPr/>
        <w:t xml:space="preserve"/>
      </w:r>
    </w:p>
    <w:p>
      <w:pPr>
        <w:jc w:val="both"/>
      </w:pPr>
      <w:r>
        <w:rPr/>
        <w:t xml:space="preserve">最后，文章提到最近出现了选择性抑制神经鞘脂类生物合成和非抑制性药理伴侣对神经鞘脂类加工酶进行干预的新策略。然而，文章没有提供任何关于这些新策略如何克服迄今报道的化合物所存在的限制的具体信息。缺乏具体信息使得读者难以评估这些新策略是否真正有潜力成为突触核蛋白病的靶向治疗方法。</w:t>
      </w:r>
    </w:p>
    <w:p>
      <w:pPr>
        <w:jc w:val="both"/>
      </w:pPr>
      <w:r>
        <w:rPr/>
        <w:t xml:space="preserve"/>
      </w:r>
    </w:p>
    <w:p>
      <w:pPr>
        <w:jc w:val="both"/>
      </w:pPr>
      <w:r>
        <w:rPr/>
        <w:t xml:space="preserve">总之，这篇文章存在一些潜在的偏见和问题，包括缺乏具体证据支持某些观点、缺乏详细信息和引用相关文献。读者需要更多的信息来评估作者所提出的观点和主张的可靠性和有效性。</w:t>
      </w:r>
    </w:p>
    <w:p>
      <w:pPr>
        <w:pStyle w:val="Heading1"/>
      </w:pPr>
      <w:bookmarkStart w:id="5" w:name="_Toc5"/>
      <w:r>
        <w:t>Topics for further research:</w:t>
      </w:r>
      <w:bookmarkEnd w:id="5"/>
    </w:p>
    <w:p>
      <w:pPr>
        <w:spacing w:after="0"/>
        <w:numPr>
          <w:ilvl w:val="0"/>
          <w:numId w:val="2"/>
        </w:numPr>
      </w:pPr>
      <w:r>
        <w:rPr/>
        <w:t xml:space="preserve">神经退行性疾病的治疗靶点和生物标志物的验证和机制基础的缺乏
</w:t>
      </w:r>
    </w:p>
    <w:p>
      <w:pPr>
        <w:spacing w:after="0"/>
        <w:numPr>
          <w:ilvl w:val="0"/>
          <w:numId w:val="2"/>
        </w:numPr>
      </w:pPr>
      <w:r>
        <w:rPr/>
        <w:t xml:space="preserve">格劳希氏细胞增生症中发现与α-突触核蛋白清除相关的特定机制和靶点
</w:t>
      </w:r>
    </w:p>
    <w:p>
      <w:pPr>
        <w:spacing w:after="0"/>
        <w:numPr>
          <w:ilvl w:val="0"/>
          <w:numId w:val="2"/>
        </w:numPr>
      </w:pPr>
      <w:r>
        <w:rPr/>
        <w:t xml:space="preserve">GD与帕金森氏症之间的临床、遗传和病理联系
</w:t>
      </w:r>
    </w:p>
    <w:p>
      <w:pPr>
        <w:spacing w:after="0"/>
        <w:numPr>
          <w:ilvl w:val="0"/>
          <w:numId w:val="2"/>
        </w:numPr>
      </w:pPr>
      <w:r>
        <w:rPr/>
        <w:t xml:space="preserve">调节葡糖脑苷酰酶和糖脂代谢作为治疗突触核蛋白积累相关障碍的方法
</w:t>
      </w:r>
    </w:p>
    <w:p>
      <w:pPr>
        <w:spacing w:after="0"/>
        <w:numPr>
          <w:ilvl w:val="0"/>
          <w:numId w:val="2"/>
        </w:numPr>
      </w:pPr>
      <w:r>
        <w:rPr/>
        <w:t xml:space="preserve">选择性抑制神经鞘脂类生物合成和非抑制性药理伴侣对神经鞘脂类加工酶进行干预的新策略
</w:t>
      </w:r>
    </w:p>
    <w:p>
      <w:pPr>
        <w:numPr>
          <w:ilvl w:val="0"/>
          <w:numId w:val="2"/>
        </w:numPr>
      </w:pPr>
      <w:r>
        <w:rPr/>
        <w:t xml:space="preserve">新策略如何克服已报道化合物的限制</w:t>
      </w:r>
    </w:p>
    <w:p>
      <w:pPr>
        <w:pStyle w:val="Heading1"/>
      </w:pPr>
      <w:bookmarkStart w:id="6" w:name="_Toc6"/>
      <w:r>
        <w:t>Report location:</w:t>
      </w:r>
      <w:bookmarkEnd w:id="6"/>
    </w:p>
    <w:p>
      <w:hyperlink r:id="rId8" w:history="1">
        <w:r>
          <w:rPr>
            <w:color w:val="2980b9"/>
            <w:u w:val="single"/>
          </w:rPr>
          <w:t xml:space="preserve">https://www.fullpicture.app/item/32c12e73f11a2f9620a1b804f2a73027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6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173992/" TargetMode="External"/><Relationship Id="rId8" Type="http://schemas.openxmlformats.org/officeDocument/2006/relationships/hyperlink" Target="https://www.fullpicture.app/item/32c12e73f11a2f9620a1b804f2a73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2024-01-25T08:52:19+01:00</dcterms:created>
  <dcterms:modified xsi:type="dcterms:W3CDTF">2024-01-25T08:52:19+01:00</dcterms:modified>
</cp:coreProperties>
</file>

<file path=docProps/custom.xml><?xml version="1.0" encoding="utf-8"?>
<Properties xmlns="http://schemas.openxmlformats.org/officeDocument/2006/custom-properties" xmlns:vt="http://schemas.openxmlformats.org/officeDocument/2006/docPropsVTypes"/>
</file>