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Nomenclature and diagnosis of seronegative coeliac disease and chronic non-coeliac enteropathies in adults: the Paris consensus - PubMed</w:t>
      </w:r>
      <w:br/>
      <w:hyperlink r:id="rId7" w:history="1">
        <w:r>
          <w:rPr>
            <w:color w:val="2980b9"/>
            <w:u w:val="single"/>
          </w:rPr>
          <w:t xml:space="preserve">https://pubmed.ncbi.nlm.nih.gov/35676085/</w:t>
        </w:r>
      </w:hyperlink>
    </w:p>
    <w:p>
      <w:pPr>
        <w:pStyle w:val="Heading1"/>
      </w:pPr>
      <w:bookmarkStart w:id="2" w:name="_Toc2"/>
      <w:r>
        <w:t>Article summary:</w:t>
      </w:r>
      <w:bookmarkEnd w:id="2"/>
    </w:p>
    <w:p>
      <w:pPr>
        <w:jc w:val="both"/>
      </w:pPr>
      <w:r>
        <w:rPr/>
        <w:t xml:space="preserve">1. An international task force of 13 gastroenterologists from six countries conducted a Delphi process to reach a consensus on the nomenclature and diagnostic criteria for seronegative coeliac disease and chronic non-coeliac enteropathies in adults.</w:t>
      </w:r>
    </w:p>
    <w:p>
      <w:pPr>
        <w:jc w:val="both"/>
      </w:pPr>
      <w:r>
        <w:rPr/>
        <w:t xml:space="preserve">2. The consensus was reached on the diagnostic criteria for NCEs, which can be attributed to two main clinical scenarios: forms of CD presenting with negative serology, and NCEs with different underlying aetiologies.</w:t>
      </w:r>
    </w:p>
    <w:p>
      <w:pPr>
        <w:jc w:val="both"/>
      </w:pPr>
      <w:r>
        <w:rPr/>
        <w:t xml:space="preserve">3. Discriminating between seronegative CD and NCEs is key to avoid unnecessary lifelong gluten-free diet, treat disease-specific morbidity and contrast poor long-term outcomes.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an international task force of 13 gastroenterologists from six countries who conducted a Delphi process to reach a consensus on the nomenclature and diagnostic criteria for seronegative coeliac disease and chronic non-coeliac enteropathies in adults. The authors have provided detailed information about the methods used in the study, which adds to its credibility. Furthermore, the article has been published in Gut, an established medical journal with high standards of peer review. </w:t>
      </w:r>
    </w:p>
    <w:p>
      <w:pPr>
        <w:jc w:val="both"/>
      </w:pPr>
      <w:r>
        <w:rPr/>
        <w:t xml:space="preserve">The article does not appear to be biased or one-sided as it presents both sides of the argument equally. It also provides evidence for its claims by citing relevant studies and research papers. Additionally, there are no unsupported claims or missing points of consideration in the article that could lead to bias or partiality. </w:t>
      </w:r>
    </w:p>
    <w:p>
      <w:pPr>
        <w:jc w:val="both"/>
      </w:pPr>
      <w:r>
        <w:rPr/>
        <w:t xml:space="preserve">The only potential issue with this article is that it does not explore any counterarguments or alternative perspectives that may exist regarding this topic. However, this does not significantly detract from its overall trustworthiness as it provides sufficient evidence for its claims and presents both sides of the argument fairly.</w:t>
      </w:r>
    </w:p>
    <w:p>
      <w:pPr>
        <w:pStyle w:val="Heading1"/>
      </w:pPr>
      <w:bookmarkStart w:id="5" w:name="_Toc5"/>
      <w:r>
        <w:t>Topics for further research:</w:t>
      </w:r>
      <w:bookmarkEnd w:id="5"/>
    </w:p>
    <w:p>
      <w:pPr>
        <w:spacing w:after="0"/>
        <w:numPr>
          <w:ilvl w:val="0"/>
          <w:numId w:val="2"/>
        </w:numPr>
      </w:pPr>
      <w:r>
        <w:rPr/>
        <w:t xml:space="preserve">Seronegative coeliac disease diagnosis</w:t>
      </w:r>
    </w:p>
    <w:p>
      <w:pPr>
        <w:spacing w:after="0"/>
        <w:numPr>
          <w:ilvl w:val="0"/>
          <w:numId w:val="2"/>
        </w:numPr>
      </w:pPr>
      <w:r>
        <w:rPr/>
        <w:t xml:space="preserve">Non-coeliac enteropathies in adults</w:t>
      </w:r>
    </w:p>
    <w:p>
      <w:pPr>
        <w:spacing w:after="0"/>
        <w:numPr>
          <w:ilvl w:val="0"/>
          <w:numId w:val="2"/>
        </w:numPr>
      </w:pPr>
      <w:r>
        <w:rPr/>
        <w:t xml:space="preserve">Delphi process in medical research</w:t>
      </w:r>
    </w:p>
    <w:p>
      <w:pPr>
        <w:spacing w:after="0"/>
        <w:numPr>
          <w:ilvl w:val="0"/>
          <w:numId w:val="2"/>
        </w:numPr>
      </w:pPr>
      <w:r>
        <w:rPr/>
        <w:t xml:space="preserve">Gastroenterologists consensus on nomenclature</w:t>
      </w:r>
    </w:p>
    <w:p>
      <w:pPr>
        <w:spacing w:after="0"/>
        <w:numPr>
          <w:ilvl w:val="0"/>
          <w:numId w:val="2"/>
        </w:numPr>
      </w:pPr>
      <w:r>
        <w:rPr/>
        <w:t xml:space="preserve">Clinical implications of seronegative coeliac disease</w:t>
      </w:r>
    </w:p>
    <w:p>
      <w:pPr>
        <w:numPr>
          <w:ilvl w:val="0"/>
          <w:numId w:val="2"/>
        </w:numPr>
      </w:pPr>
      <w:r>
        <w:rPr/>
        <w:t xml:space="preserve">Alternative perspectives on seronegative coeliac disease</w:t>
      </w:r>
    </w:p>
    <w:p>
      <w:pPr>
        <w:pStyle w:val="Heading1"/>
      </w:pPr>
      <w:bookmarkStart w:id="6" w:name="_Toc6"/>
      <w:r>
        <w:t>Report location:</w:t>
      </w:r>
      <w:bookmarkEnd w:id="6"/>
    </w:p>
    <w:p>
      <w:hyperlink r:id="rId8" w:history="1">
        <w:r>
          <w:rPr>
            <w:color w:val="2980b9"/>
            <w:u w:val="single"/>
          </w:rPr>
          <w:t xml:space="preserve">https://www.fullpicture.app/item/3444c2b2ee3a12d0a000dc93f14e67e5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2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76085/" TargetMode="External"/><Relationship Id="rId8" Type="http://schemas.openxmlformats.org/officeDocument/2006/relationships/hyperlink" Target="https://www.fullpicture.app/item/3444c2b2ee3a12d0a000dc93f14e6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2023-02-26T15:50:16+01:00</dcterms:created>
  <dcterms:modified xsi:type="dcterms:W3CDTF">2023-02-26T15:50:16+01:00</dcterms:modified>
</cp:coreProperties>
</file>

<file path=docProps/custom.xml><?xml version="1.0" encoding="utf-8"?>
<Properties xmlns="http://schemas.openxmlformats.org/officeDocument/2006/custom-properties" xmlns:vt="http://schemas.openxmlformats.org/officeDocument/2006/docPropsVTypes"/>
</file>