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investor sentiment with mutual fund flows - ScienceDirect</w:t>
      </w:r>
      <w:br/>
      <w:hyperlink r:id="rId7" w:history="1">
        <w:r>
          <w:rPr>
            <w:color w:val="2980b9"/>
            <w:u w:val="single"/>
          </w:rPr>
          <w:t xml:space="preserve">https://vpn.jlu.edu.cn/https/44696469646131313237446964696461bd6feb2610cba212c258e268de7790f17702c29fe5/science/article/pii/S0304405X10001947</w:t>
        </w:r>
      </w:hyperlink>
    </w:p>
    <w:p>
      <w:pPr>
        <w:pStyle w:val="Heading1"/>
      </w:pPr>
      <w:bookmarkStart w:id="2" w:name="_Toc2"/>
      <w:r>
        <w:t>Article summary:</w:t>
      </w:r>
      <w:bookmarkEnd w:id="2"/>
    </w:p>
    <w:p>
      <w:pPr>
        <w:jc w:val="both"/>
      </w:pPr>
      <w:r>
        <w:rPr/>
        <w:t xml:space="preserve">1. The paper focuses on the relationship between shifts in mutual fund flows between bond funds and equity funds and stock market excess returns. It finds a significant, positive contemporaneous relation between this measure and stock market excess returns.</w:t>
      </w:r>
    </w:p>
    <w:p>
      <w:pPr>
        <w:jc w:val="both"/>
      </w:pPr>
      <w:r>
        <w:rPr/>
        <w:t xml:space="preserve">2. The study uses data from the Investment Company Institute (ICI) on monthly aggregate flows and asset values of US mutual fund categories. The sample period covers 1984-2008, which is longer than previous research studies.</w:t>
      </w:r>
    </w:p>
    <w:p>
      <w:pPr>
        <w:jc w:val="both"/>
      </w:pPr>
      <w:r>
        <w:rPr/>
        <w:t xml:space="preserve">3. The paper finds a negative relation between net exchanges (exchanges in minus exchanges out) of equity funds and subsequent market returns. About 85% of the contemporaneous effect is reversed within four months, with a full reversal after ten months. This pattern suggests price "noise" at the aggregate market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这篇文章主要研究了美国投资者情绪与共同基金流动之间的关系。然而，文章存在一些潜在的偏见和问题。</w:t>
      </w:r>
    </w:p>
    <w:p>
      <w:pPr>
        <w:jc w:val="both"/>
      </w:pPr>
      <w:r>
        <w:rPr/>
        <w:t xml:space="preserve"/>
      </w:r>
    </w:p>
    <w:p>
      <w:pPr>
        <w:jc w:val="both"/>
      </w:pPr>
      <w:r>
        <w:rPr/>
        <w:t xml:space="preserve">首先，文章只关注了债券基金和股票基金之间的转移，而没有考虑其他类型的基金。这可能导致对整个市场情绪的测量不准确，并且无法全面了解投资者行为。</w:t>
      </w:r>
    </w:p>
    <w:p>
      <w:pPr>
        <w:jc w:val="both"/>
      </w:pPr>
      <w:r>
        <w:rPr/>
        <w:t xml:space="preserve"/>
      </w:r>
    </w:p>
    <w:p>
      <w:pPr>
        <w:jc w:val="both"/>
      </w:pPr>
      <w:r>
        <w:rPr/>
        <w:t xml:space="preserve">其次，文章提到了一些以前的研究结果，但没有提供足够的证据来支持自己的主张。例如，他们声称85%的价格变动在四个月内被逆转，但没有提供详细数据或分析来支持这一结论。</w:t>
      </w:r>
    </w:p>
    <w:p>
      <w:pPr>
        <w:jc w:val="both"/>
      </w:pPr>
      <w:r>
        <w:rPr/>
        <w:t xml:space="preserve"/>
      </w:r>
    </w:p>
    <w:p>
      <w:pPr>
        <w:jc w:val="both"/>
      </w:pPr>
      <w:r>
        <w:rPr/>
        <w:t xml:space="preserve">此外，文章还忽略了其他可能影响市场回报率的因素。例如，它没有考虑到经济指标、政治事件或其他市场因素对投资者情绪和基金流动的影响。因此，文章得出的结论可能是片面和不完整的。</w:t>
      </w:r>
    </w:p>
    <w:p>
      <w:pPr>
        <w:jc w:val="both"/>
      </w:pPr>
      <w:r>
        <w:rPr/>
        <w:t xml:space="preserve"/>
      </w:r>
    </w:p>
    <w:p>
      <w:pPr>
        <w:jc w:val="both"/>
      </w:pPr>
      <w:r>
        <w:rPr/>
        <w:t xml:space="preserve">另一个问题是文章中提到的交易策略并没有提供足够的证据来支持其有效性。作者声称根据净交易量可以制定出可行的交易策略，但并未提供详细数据或实证分析来支持这一观点。</w:t>
      </w:r>
    </w:p>
    <w:p>
      <w:pPr>
        <w:jc w:val="both"/>
      </w:pPr>
      <w:r>
        <w:rPr/>
        <w:t xml:space="preserve"/>
      </w:r>
    </w:p>
    <w:p>
      <w:pPr>
        <w:jc w:val="both"/>
      </w:pPr>
      <w:r>
        <w:rPr/>
        <w:t xml:space="preserve">最后，在整篇文章中缺乏对潜在风险和不确定性的讨论。投资者情绪和基金流动可能受到多种因素的影响，包括市场波动、政策变化和经济衰退等。文章没有充分考虑这些风险，并且未提供应对这些风险的建议。</w:t>
      </w:r>
    </w:p>
    <w:p>
      <w:pPr>
        <w:jc w:val="both"/>
      </w:pPr>
      <w:r>
        <w:rPr/>
        <w:t xml:space="preserve"/>
      </w:r>
    </w:p>
    <w:p>
      <w:pPr>
        <w:jc w:val="both"/>
      </w:pPr>
      <w:r>
        <w:rPr/>
        <w:t xml:space="preserve">总之，这篇文章存在一些潜在的偏见和问题，需要更多的证据和分析来支持其主张。此外，作者还应该更全面地考虑其他因素对投资者情绪和基金流动的影响，并提供关于潜在风险和不确定性的更全面讨论。</w:t>
      </w:r>
    </w:p>
    <w:p>
      <w:pPr>
        <w:pStyle w:val="Heading1"/>
      </w:pPr>
      <w:bookmarkStart w:id="5" w:name="_Toc5"/>
      <w:r>
        <w:t>Topics for further research:</w:t>
      </w:r>
      <w:bookmarkEnd w:id="5"/>
    </w:p>
    <w:p>
      <w:pPr>
        <w:spacing w:after="0"/>
        <w:numPr>
          <w:ilvl w:val="0"/>
          <w:numId w:val="2"/>
        </w:numPr>
      </w:pPr>
      <w:r>
        <w:rPr/>
        <w:t xml:space="preserve">其他类型的基金对投资者情绪和基金流动的影响
</w:t>
      </w:r>
    </w:p>
    <w:p>
      <w:pPr>
        <w:spacing w:after="0"/>
        <w:numPr>
          <w:ilvl w:val="0"/>
          <w:numId w:val="2"/>
        </w:numPr>
      </w:pPr>
      <w:r>
        <w:rPr/>
        <w:t xml:space="preserve">85%的价格变动在四个月内被逆转的证据
</w:t>
      </w:r>
    </w:p>
    <w:p>
      <w:pPr>
        <w:spacing w:after="0"/>
        <w:numPr>
          <w:ilvl w:val="0"/>
          <w:numId w:val="2"/>
        </w:numPr>
      </w:pPr>
      <w:r>
        <w:rPr/>
        <w:t xml:space="preserve">经济指标、政治事件和其他市场因素对投资者情绪和基金流动的影响
</w:t>
      </w:r>
    </w:p>
    <w:p>
      <w:pPr>
        <w:spacing w:after="0"/>
        <w:numPr>
          <w:ilvl w:val="0"/>
          <w:numId w:val="2"/>
        </w:numPr>
      </w:pPr>
      <w:r>
        <w:rPr/>
        <w:t xml:space="preserve">交易策略的有效性和净交易量的关系的证据
</w:t>
      </w:r>
    </w:p>
    <w:p>
      <w:pPr>
        <w:spacing w:after="0"/>
        <w:numPr>
          <w:ilvl w:val="0"/>
          <w:numId w:val="2"/>
        </w:numPr>
      </w:pPr>
      <w:r>
        <w:rPr/>
        <w:t xml:space="preserve">潜在风险和不确定性对投资者情绪和基金流动的影响
</w:t>
      </w:r>
    </w:p>
    <w:p>
      <w:pPr>
        <w:numPr>
          <w:ilvl w:val="0"/>
          <w:numId w:val="2"/>
        </w:numPr>
      </w:pPr>
      <w:r>
        <w:rPr/>
        <w:t xml:space="preserve">如何应对潜在风险和不确定性的建议</w:t>
      </w:r>
    </w:p>
    <w:p>
      <w:pPr>
        <w:pStyle w:val="Heading1"/>
      </w:pPr>
      <w:bookmarkStart w:id="6" w:name="_Toc6"/>
      <w:r>
        <w:t>Report location:</w:t>
      </w:r>
      <w:bookmarkEnd w:id="6"/>
    </w:p>
    <w:p>
      <w:hyperlink r:id="rId8" w:history="1">
        <w:r>
          <w:rPr>
            <w:color w:val="2980b9"/>
            <w:u w:val="single"/>
          </w:rPr>
          <w:t xml:space="preserve">https://www.fullpicture.app/item/34901eac14e1d64f3ad4537db78c84b5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3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10001947" TargetMode="External"/><Relationship Id="rId8" Type="http://schemas.openxmlformats.org/officeDocument/2006/relationships/hyperlink" Target="https://www.fullpicture.app/item/34901eac14e1d64f3ad4537db78c8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2024-01-03T14:19:31+01:00</dcterms:created>
  <dcterms:modified xsi:type="dcterms:W3CDTF">2024-01-03T14:19:31+01:00</dcterms:modified>
</cp:coreProperties>
</file>

<file path=docProps/custom.xml><?xml version="1.0" encoding="utf-8"?>
<Properties xmlns="http://schemas.openxmlformats.org/officeDocument/2006/custom-properties" xmlns:vt="http://schemas.openxmlformats.org/officeDocument/2006/docPropsVTypes"/>
</file>