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Pluripotency and differentiation of embryonic stem cell lines from the medakafish (Oryzias latipes) - ScienceDirect</w:t></w:r><w:br/><w:hyperlink r:id="rId7" w:history="1"><w:r><w:rPr><w:color w:val="2980b9"/><w:u w:val="single"/></w:rPr><w:t xml:space="preserve">https://www.sciencedirect.com/science/article/pii/S0925477396005965?ref=pdf_download&fr=RR-2&rr=7ac699d089bfce30</w:t></w:r></w:hyperlink></w:p><w:p><w:pPr><w:pStyle w:val="Heading1"/></w:pPr><w:bookmarkStart w:id="2" w:name="_Toc2"/><w:r><w:t>Article summary:</w:t></w:r><w:bookmarkEnd w:id="2"/></w:p><w:p><w:pPr><w:jc w:val="both"/></w:pPr><w:r><w:rPr/><w:t xml:space="preserve">1. 介绍了建立、多能性和分化的稻田鱼胚胎干细胞系（MES）。</w:t></w:r></w:p><w:p><w:pPr><w:jc w:val="both"/></w:pPr><w:r><w:rPr/><w:t xml:space="preserve">2. MES细胞在无需饲养层细胞的定义培养条件下，具有18个月的稳定生长和100次通行证，并形成密集包裹、碱性磷酸酶阳性的细胞群，类似于未分化的小鼠ES细胞。</w:t></w:r></w:p><w:p><w:pPr><w:jc w:val="both"/></w:pPr><w:r><w:rPr/><w:t xml:space="preserve">3. 在适当条件下，MES细胞可以形成胚体团并分化为各种类型的细胞。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学论文，该文章并没有明显的偏见或宣传内容。然而，它可能存在一些片面报道和缺失的考虑点。例如，文章没有探讨可能存在的风险或限制，如细胞突变、克隆技术的伦理问题等。此外，文章也没有平等地呈现双方观点，只关注了实验结果和发现。</w:t></w:r></w:p><w:p><w:pPr><w:jc w:val="both"/></w:pPr><w:r><w:rPr/><w:t xml:space="preserve"></w:t></w:r></w:p><w:p><w:pPr><w:jc w:val="both"/></w:pPr><w:r><w:rPr/><w:t xml:space="preserve">另外，该文章提出了一些主张，如建立、分化和培养鱼类胚胎干细胞系，并描述了其成功的实验结果。然而，这些主张缺乏足够的证据支持，并需要更多的研究来验证其可行性和应用前景。</w:t></w:r></w:p><w:p><w:pPr><w:jc w:val="both"/></w:pPr><w:r><w:rPr/><w:t xml:space="preserve"></w:t></w:r></w:p><w:p><w:pPr><w:jc w:val="both"/></w:pPr><w:r><w:rPr/><w:t xml:space="preserve">总之，该文章是一篇有价值的科学研究成果报告，但需要更全面、客观地考虑相关问题，并提供更多证据来支持其主张。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Cell mutations and risks
</w:t></w:r></w:p><w:p><w:pPr><w:spacing w:after="0"/><w:numPr><w:ilvl w:val="0"/><w:numId w:val="2"/></w:numPr></w:pPr><w:r><w:rPr/><w:t xml:space="preserve">Ethical concerns of cloning technology
</w:t></w:r></w:p><w:p><w:pPr><w:spacing w:after="0"/><w:numPr><w:ilvl w:val="0"/><w:numId w:val="2"/></w:numPr></w:pPr><w:r><w:rPr/><w:t xml:space="preserve">Balanced presentation of opposing views
</w:t></w:r></w:p><w:p><w:pPr><w:spacing w:after="0"/><w:numPr><w:ilvl w:val="0"/><w:numId w:val="2"/></w:numPr></w:pPr><w:r><w:rPr/><w:t xml:space="preserve">Limitations and considerations of the research
</w:t></w:r></w:p><w:p><w:pPr><w:spacing w:after="0"/><w:numPr><w:ilvl w:val="0"/><w:numId w:val="2"/></w:numPr></w:pPr><w:r><w:rPr/><w:t xml:space="preserve">Need for further evidence to support claims
</w:t></w:r></w:p><w:p><w:pPr><w:numPr><w:ilvl w:val="0"/><w:numId w:val="2"/></w:numPr></w:pPr><w:r><w:rPr/><w:t xml:space="preserve">Overall objectivity and comprehensiveness of the article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https://www.fullpicture.app/item/34c6ae382bccfd831d80cfb0047373b0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226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5477396005965?ref=pdf_download&amp;fr=RR-2&amp;rr=7ac699d089bfce30" TargetMode="External"/><Relationship Id="rId8" Type="http://schemas.openxmlformats.org/officeDocument/2006/relationships/hyperlink" Target="https://www.fullpicture.app/item/34c6ae382bccfd831d80cfb0047373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2024-01-11T19:37:44+01:00</dcterms:created>
  <dcterms:modified xsi:type="dcterms:W3CDTF">2024-01-11T19:37:44+01:00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