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[2022] SGHC 191</w:t>
      </w:r>
      <w:br/>
      <w:hyperlink r:id="rId7" w:history="1">
        <w:r>
          <w:rPr>
            <w:color w:val="2980b9"/>
            <w:u w:val="single"/>
          </w:rPr>
          <w:t xml:space="preserve">https://www.elitigation.sg/gd/s/2022_SGHC_191</w:t>
        </w:r>
      </w:hyperlink>
    </w:p>
    <w:p>
      <w:pPr>
        <w:pStyle w:val="Heading1"/>
      </w:pPr>
      <w:bookmarkStart w:id="2" w:name="_Toc2"/>
      <w:r>
        <w:t>Article summary:</w:t>
      </w:r>
      <w:bookmarkEnd w:id="2"/>
    </w:p>
    <w:p>
      <w:pPr>
        <w:jc w:val="both"/>
      </w:pPr>
      <w:r>
        <w:rPr/>
        <w:t xml:space="preserve">1. The article is about a case in the General Division of the High Court of Singapore, Magistrate’s Appeal No 9140 of 2022.</w:t>
      </w:r>
    </w:p>
    <w:p>
      <w:pPr>
        <w:jc w:val="both"/>
      </w:pPr>
      <w:r>
        <w:rPr/>
        <w:t xml:space="preserve">2. The respondent pleaded guilty to one charge under s 15(3) of the Workplace Safety and Health Act (Cap 354A, 2009 Rev Ed) for recklessly endangering the safety or health of himself or others by allowing an untrained forklift operator to operate a forklift with faulty brakes.</w:t>
      </w:r>
    </w:p>
    <w:p>
      <w:pPr>
        <w:jc w:val="both"/>
      </w:pPr>
      <w:r>
        <w:rPr/>
        <w:t xml:space="preserve">3. The District Judge sentenced Shanmugam to 11 months’ imprisonment and the respondent to an imprisonment term of 7 months.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detailed information on the case in question, including background facts, decision made by the District Judge, and relevant legal provisions. However, there are some potential biases that should be noted. Firstly, there is no mention of any counterarguments or alternative perspectives that could have been presented in this case. Secondly, there is no discussion on possible risks associated with allowing untrained operators to use heavy machinery such as forklifts with faulty brakes. Thirdly, while the article does provide details on the sentencing decisions made by the District Judge, it does not provide any insight into why these sentences were chosen over other possible alternatives. Finally, while the article does provide some detail on how Shanmugam was charged and sentenced for his role in this incident, it does not provide any detail on how other individuals involved may have been charged or sentenced for their roles in this incident.</w:t>
      </w:r>
    </w:p>
    <w:p>
      <w:pPr>
        <w:pStyle w:val="Heading1"/>
      </w:pPr>
      <w:bookmarkStart w:id="5" w:name="_Toc5"/>
      <w:r>
        <w:t>Topics for further research:</w:t>
      </w:r>
      <w:bookmarkEnd w:id="5"/>
    </w:p>
    <w:p>
      <w:pPr>
        <w:spacing w:after="0"/>
        <w:numPr>
          <w:ilvl w:val="0"/>
          <w:numId w:val="2"/>
        </w:numPr>
      </w:pPr>
      <w:r>
        <w:rPr/>
        <w:t xml:space="preserve">Counterarguments to Shanmugam case</w:t>
      </w:r>
    </w:p>
    <w:p>
      <w:pPr>
        <w:spacing w:after="0"/>
        <w:numPr>
          <w:ilvl w:val="0"/>
          <w:numId w:val="2"/>
        </w:numPr>
      </w:pPr>
      <w:r>
        <w:rPr/>
        <w:t xml:space="preserve">Risks associated with untrained operators using heavy machinery</w:t>
      </w:r>
    </w:p>
    <w:p>
      <w:pPr>
        <w:spacing w:after="0"/>
        <w:numPr>
          <w:ilvl w:val="0"/>
          <w:numId w:val="2"/>
        </w:numPr>
      </w:pPr>
      <w:r>
        <w:rPr/>
        <w:t xml:space="preserve">Sentencing alternatives for workplace safety violations</w:t>
      </w:r>
    </w:p>
    <w:p>
      <w:pPr>
        <w:spacing w:after="0"/>
        <w:numPr>
          <w:ilvl w:val="0"/>
          <w:numId w:val="2"/>
        </w:numPr>
      </w:pPr>
      <w:r>
        <w:rPr/>
        <w:t xml:space="preserve">Criminal charges for workplace safety violations</w:t>
      </w:r>
    </w:p>
    <w:p>
      <w:pPr>
        <w:spacing w:after="0"/>
        <w:numPr>
          <w:ilvl w:val="0"/>
          <w:numId w:val="2"/>
        </w:numPr>
      </w:pPr>
      <w:r>
        <w:rPr/>
        <w:t xml:space="preserve">Sentencing guidelines for workplace safety violations</w:t>
      </w:r>
    </w:p>
    <w:p>
      <w:pPr>
        <w:numPr>
          <w:ilvl w:val="0"/>
          <w:numId w:val="2"/>
        </w:numPr>
      </w:pPr>
      <w:r>
        <w:rPr/>
        <w:t xml:space="preserve">Consequences of workplace safety violations</w:t>
      </w:r>
    </w:p>
    <w:p>
      <w:pPr>
        <w:pStyle w:val="Heading1"/>
      </w:pPr>
      <w:bookmarkStart w:id="6" w:name="_Toc6"/>
      <w:r>
        <w:t>Report location:</w:t>
      </w:r>
      <w:bookmarkEnd w:id="6"/>
    </w:p>
    <w:p>
      <w:hyperlink r:id="rId8" w:history="1">
        <w:r>
          <w:rPr>
            <w:color w:val="2980b9"/>
            <w:u w:val="single"/>
          </w:rPr>
          <w:t xml:space="preserve">https://www.fullpicture.app/item/35823c720d0e69809f8249b3f09521c7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C4BE8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elitigation.sg/gd/s/2022_SGHC_191" TargetMode="External"/><Relationship Id="rId8" Type="http://schemas.openxmlformats.org/officeDocument/2006/relationships/hyperlink" Target="https://www.fullpicture.app/item/35823c720d0e69809f8249b3f09521c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2023-02-21T20:29:01+01:00</dcterms:created>
  <dcterms:modified xsi:type="dcterms:W3CDTF">2023-02-21T20:29:01+01:00</dcterms:modified>
</cp:coreProperties>
</file>

<file path=docProps/custom.xml><?xml version="1.0" encoding="utf-8"?>
<Properties xmlns="http://schemas.openxmlformats.org/officeDocument/2006/custom-properties" xmlns:vt="http://schemas.openxmlformats.org/officeDocument/2006/docPropsVTypes"/>
</file>