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Profiling Reveals Transcriptional Signatures and Cell-Cell Crosstalk in Anti-PLA2R Positive Idiopathic Membranous Nephropathy Patients - PMC</w:t>
      </w:r>
      <w:br/>
      <w:hyperlink r:id="rId7" w:history="1">
        <w:r>
          <w:rPr>
            <w:color w:val="2980b9"/>
            <w:u w:val="single"/>
          </w:rPr>
          <w:t xml:space="preserve">https://www.ncbi.nlm.nih.gov/pmc/articles/PMC8202011/</w:t>
        </w:r>
      </w:hyperlink>
    </w:p>
    <w:p>
      <w:pPr>
        <w:pStyle w:val="Heading1"/>
      </w:pPr>
      <w:bookmarkStart w:id="2" w:name="_Toc2"/>
      <w:r>
        <w:t>Article summary:</w:t>
      </w:r>
      <w:bookmarkEnd w:id="2"/>
    </w:p>
    <w:p>
      <w:pPr>
        <w:jc w:val="both"/>
      </w:pPr>
      <w:r>
        <w:rPr/>
        <w:t xml:space="preserve">1. 通过单细胞RNA测序分析6例anti-PLA2R阳性IIP患者和2例健康对照组的肾脏样本，识别出不同的细胞团。</w:t>
      </w:r>
    </w:p>
    <w:p>
      <w:pPr>
        <w:jc w:val="both"/>
      </w:pPr>
      <w:r>
        <w:rPr/>
        <w:t xml:space="preserve">2. 通过差异表达基因（DEGs）及其共表达分析，发现大多数肾小球室内细胞主要富集于参与炎症和免疫反应的基因，包括IL-17信号通路、TNF信号通路、NOD-like受体信号通路和MAPK信号通路。</w:t>
      </w:r>
    </w:p>
    <w:p>
      <w:pPr>
        <w:jc w:val="both"/>
      </w:pPr>
      <w:r>
        <w:rPr/>
        <w:t xml:space="preserve">3. 研究还揭示了mesangial cells之间广泛的相互作用，从而推断出在IIP中其重要性。</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有关anti-PLA2R阳性IIP患者单细胞RNA测序分析的原始研究。文章使用了一般来说是有效的方法来实施它们的实验，并提供了一个易于理解的数字图形来帮助读者理解他们所得出的数据。此外，作者也对他们所得出的数据进行了相当多的初步分析（如差异表达基因分析、共表达分析、Cell-Cell Crosstalk Analysis 等）。</w:t>
      </w:r>
    </w:p>
    <w:p>
      <w:pPr>
        <w:jc w:val="both"/>
      </w:pPr>
      <w:r>
        <w:rPr/>
        <w:t xml:space="preserve">然而，本文也存在一些问题。首先，作者在实验中使用了少量样本——6例anti-PLA2R阳性IIP 患者和2例健康对照——这意味着他们得出的数据不够代表性。此外，作者也未考虑将anti-PLA2R 阴性 IIP 患者与 anti-PLA2R 阳性 IIP 患者进行对比或将 IIP 患者与正常人进行对比来看看是否存在差异。此外，作者也未考虑将不同水平/时间特定情况下 anti-PLA2R 阳性 IIP 患者之间进行对比来看看是否存在差异。</w:t>
      </w:r>
    </w:p>
    <w:p>
      <w:pPr>
        <w:jc w:val="both"/>
      </w:pPr>
      <w:r>
        <w:rPr/>
        <w:t xml:space="preserve">此外，作者也未考虑将 anti-PLA2R 阳性 IIP 患者与其他相似情况如 lupus nephritis 之间进行对</w:t>
      </w:r>
    </w:p>
    <w:p>
      <w:pPr>
        <w:pStyle w:val="Heading1"/>
      </w:pPr>
      <w:bookmarkStart w:id="5" w:name="_Toc5"/>
      <w:r>
        <w:t>Topics for further research:</w:t>
      </w:r>
      <w:bookmarkEnd w:id="5"/>
    </w:p>
    <w:p>
      <w:pPr>
        <w:spacing w:after="0"/>
        <w:numPr>
          <w:ilvl w:val="0"/>
          <w:numId w:val="2"/>
        </w:numPr>
      </w:pPr>
      <w:r>
        <w:rPr/>
        <w:t xml:space="preserve">anti-PLA2R 阴性 IIP 患者与 anti-PLA2R 阳性 IIP 患者对比</w:t>
      </w:r>
    </w:p>
    <w:p>
      <w:pPr>
        <w:spacing w:after="0"/>
        <w:numPr>
          <w:ilvl w:val="0"/>
          <w:numId w:val="2"/>
        </w:numPr>
      </w:pPr>
      <w:r>
        <w:rPr/>
        <w:t xml:space="preserve">IIP 患者与正常人对比</w:t>
      </w:r>
    </w:p>
    <w:p>
      <w:pPr>
        <w:spacing w:after="0"/>
        <w:numPr>
          <w:ilvl w:val="0"/>
          <w:numId w:val="2"/>
        </w:numPr>
      </w:pPr>
      <w:r>
        <w:rPr/>
        <w:t xml:space="preserve">不同水平/时间特定情况下 anti-PLA2R 阳性 IIP 患者之间对比</w:t>
      </w:r>
    </w:p>
    <w:p>
      <w:pPr>
        <w:spacing w:after="0"/>
        <w:numPr>
          <w:ilvl w:val="0"/>
          <w:numId w:val="2"/>
        </w:numPr>
      </w:pPr>
      <w:r>
        <w:rPr/>
        <w:t xml:space="preserve">anti-PLA2R 阳性 IIP 患者与 lupus nephritis 对比</w:t>
      </w:r>
    </w:p>
    <w:p>
      <w:pPr>
        <w:spacing w:after="0"/>
        <w:numPr>
          <w:ilvl w:val="0"/>
          <w:numId w:val="2"/>
        </w:numPr>
      </w:pPr>
      <w:r>
        <w:rPr/>
        <w:t xml:space="preserve">anti-PLA2R 阳性 IIP 患者的单细胞RNA测序分析</w:t>
      </w:r>
    </w:p>
    <w:p>
      <w:pPr>
        <w:numPr>
          <w:ilvl w:val="0"/>
          <w:numId w:val="2"/>
        </w:numPr>
      </w:pPr>
      <w:r>
        <w:rPr/>
        <w:t xml:space="preserve">anti-PLA2R 阳性 IIP 患者的差异表达基因分析</w:t>
      </w:r>
    </w:p>
    <w:p>
      <w:pPr>
        <w:pStyle w:val="Heading1"/>
      </w:pPr>
      <w:bookmarkStart w:id="6" w:name="_Toc6"/>
      <w:r>
        <w:t>Report location:</w:t>
      </w:r>
      <w:bookmarkEnd w:id="6"/>
    </w:p>
    <w:p>
      <w:hyperlink r:id="rId8" w:history="1">
        <w:r>
          <w:rPr>
            <w:color w:val="2980b9"/>
            <w:u w:val="single"/>
          </w:rPr>
          <w:t xml:space="preserve">https://www.fullpicture.app/item/35c6d5db03f2c7091360d47aadef2bc0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F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02011/" TargetMode="External"/><Relationship Id="rId8" Type="http://schemas.openxmlformats.org/officeDocument/2006/relationships/hyperlink" Target="https://www.fullpicture.app/item/35c6d5db03f2c7091360d47aadef2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2023-02-24T20:22:44+01:00</dcterms:created>
  <dcterms:modified xsi:type="dcterms:W3CDTF">2023-02-24T20:22:44+01:00</dcterms:modified>
</cp:coreProperties>
</file>

<file path=docProps/custom.xml><?xml version="1.0" encoding="utf-8"?>
<Properties xmlns="http://schemas.openxmlformats.org/officeDocument/2006/custom-properties" xmlns:vt="http://schemas.openxmlformats.org/officeDocument/2006/docPropsVTypes"/>
</file>