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 room for trash in Malaysia by 2050?</w:t>
      </w:r>
      <w:br/>
      <w:hyperlink r:id="rId7" w:history="1">
        <w:r>
          <w:rPr>
            <w:color w:val="2980b9"/>
            <w:u w:val="single"/>
          </w:rPr>
          <w:t xml:space="preserve">https://www.nst.com.my/news/nation/2023/03/888278/no-room-trash-malaysia-2050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Malaysia is in danger of running out of space for solid waste disposal by 2050 due to the increasing amount of waste produced daily.</w:t>
      </w:r>
    </w:p>
    <w:p>
      <w:pPr>
        <w:jc w:val="both"/>
      </w:pPr>
      <w:r>
        <w:rPr/>
        <w:t xml:space="preserve">2. Measures such as improving recycling rates, building waste-to-energy plants, and launching trash-to-cash drives can help address this issue.</w:t>
      </w:r>
    </w:p>
    <w:p>
      <w:pPr>
        <w:jc w:val="both"/>
      </w:pPr>
      <w:r>
        <w:rPr/>
        <w:t xml:space="preserve">3. Public awareness and education are crucial in achieving the recycling target of 40% by 2025, as many Malaysians are still unaware of the high commodity value of their garbage.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到了马来西亚在垃圾处理方面面临的挑战，但存在一些偏见和不完整的报道。首先，文章没有提及政府是否已经采取措施来解决这个问题。其次，文章似乎只关注了垃圾填埋场的容量问题，而忽略了其他垃圾处理方法的优缺点。此外，文章也没有提供足够的证据来支持所提出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另一个问题是文章可能存在宣传内容。例如，文章强调了Alam Flora公司开发的综合回收设施，并声称该设施每月可以产生30万令吉（约合7.2万美元）的收入。然而，这个数字并没有得到充分证实，并且可能被夸大了。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此外，文章还存在片面报道和缺失考虑点。例如，在讨论垃圾填埋场容量问题时，文章没有提及政府是否正在寻找新的填埋场地，并且也没有探讨其他国家如何应对类似问题。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最后，该文章未能平等地呈现双方观点。虽然引用了Alam Flora和SWCorp公司高管的观点，但并未涉及其他利益相关者或专家意见。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总之，尽管该文章提出了一些有价值的观点和建议，但需要更全面、客观和平衡地报道这个话题。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Government measures to address waste management challenges in Malaysia
</w:t>
      </w:r>
    </w:p>
    <w:p>
      <w:pPr>
        <w:spacing w:after="0"/>
        <w:numPr>
          <w:ilvl w:val="0"/>
          <w:numId w:val="2"/>
        </w:numPr>
      </w:pPr>
      <w:r>
        <w:rPr/>
        <w:t xml:space="preserve">Other waste management methods and their pros and cons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suggested solutions
</w:t>
      </w:r>
    </w:p>
    <w:p>
      <w:pPr>
        <w:spacing w:after="0"/>
        <w:numPr>
          <w:ilvl w:val="0"/>
          <w:numId w:val="2"/>
        </w:numPr>
      </w:pPr>
      <w:r>
        <w:rPr/>
        <w:t xml:space="preserve">Accuracy of reported financial benefits of recycling facilities
</w:t>
      </w:r>
    </w:p>
    <w:p>
      <w:pPr>
        <w:spacing w:after="0"/>
        <w:numPr>
          <w:ilvl w:val="0"/>
          <w:numId w:val="2"/>
        </w:numPr>
      </w:pPr>
      <w:r>
        <w:rPr/>
        <w:t xml:space="preserve">Other countries' approaches to waste management challenges
</w:t>
      </w:r>
    </w:p>
    <w:p>
      <w:pPr>
        <w:numPr>
          <w:ilvl w:val="0"/>
          <w:numId w:val="2"/>
        </w:numPr>
      </w:pPr>
      <w:r>
        <w:rPr/>
        <w:t xml:space="preserve">Perspectives from other stakeholders and experts in the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https://www.fullpicture.app/item/363cccb55bbb46039dcc2ed73b63fd2c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F3DC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st.com.my/news/nation/2023/03/888278/no-room-trash-malaysia-2050" TargetMode="External"/><Relationship Id="rId8" Type="http://schemas.openxmlformats.org/officeDocument/2006/relationships/hyperlink" Target="https://www.fullpicture.app/item/363cccb55bbb46039dcc2ed73b63fd2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2024-01-03T08:16:39+01:00</dcterms:created>
  <dcterms:modified xsi:type="dcterms:W3CDTF">2024-01-03T08:16:39+01:00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