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Specific Enriched Acinetobacter in Camellia Weevil Gut Facilitate the Degradation of Tea Saponin: Inferred from Bacterial Genomic and Transcriptomic Analyses | Microbiology Spectrum</w:t>
      </w:r>
      <w:br/>
      <w:hyperlink r:id="rId7" w:history="1">
        <w:r>
          <w:rPr>
            <w:color w:val="2980b9"/>
            <w:u w:val="single"/>
          </w:rPr>
          <w:t xml:space="preserve">https://journals.asm.org/doi/10.1128/spectrum.02272-22</w:t>
        </w:r>
      </w:hyperlink>
    </w:p>
    <w:p>
      <w:pPr>
        <w:pStyle w:val="Heading1"/>
      </w:pPr>
      <w:bookmarkStart w:id="2" w:name="_Toc2"/>
      <w:r>
        <w:t>Article summary:</w:t>
      </w:r>
      <w:bookmarkEnd w:id="2"/>
    </w:p>
    <w:p>
      <w:pPr>
        <w:jc w:val="both"/>
      </w:pPr>
      <w:r>
        <w:rPr/>
        <w:t xml:space="preserve">1. Beneficial gut bacteria can enhance herbivorous arthropod adaptation to plant secondary compounds (PSMs).</w:t>
      </w:r>
    </w:p>
    <w:p>
      <w:pPr>
        <w:jc w:val="both"/>
      </w:pPr>
      <w:r>
        <w:rPr/>
        <w:t xml:space="preserve">2. Acinetobacter sp. AS23 strain was the dominant strain in the gut microbiome of the surviving larvae with high resistance to host plants, and its abundance was positively correlated with the TS content of host plants.</w:t>
      </w:r>
    </w:p>
    <w:p>
      <w:pPr>
        <w:jc w:val="both"/>
      </w:pPr>
      <w:r>
        <w:rPr/>
        <w:t xml:space="preserve">3. Results of transcriptome analysis and biological tests suggested that steroid degradation pathway be the key pathway of AS23 to degrade 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genome and transcriptome analyses, biological tests, and other research studies. The article also presents both sides of the argument equally by discussing how beneficial gut bacteria can help herbivorous arthropods adapt to plant secondary compounds, as well as how Acinetobacter sp. AS23 strain can help Curculio chinensis (CW) evade tea saponin toxicity from Camellia oleifera. </w:t>
      </w:r>
    </w:p>
    <w:p>
      <w:pPr>
        <w:jc w:val="both"/>
      </w:pPr>
      <w:r>
        <w:rPr/>
        <w:t xml:space="preserve">However, there are some potential biases in the article that should be noted. For example, while the article does discuss how beneficial gut bacteria can help CWs adapt to plant secondary compounds, it does not explore any potential risks associated with this adaptation or any counterarguments that could be made against it. Additionally, while the article does provide evidence for its claims through genome and transcriptome analyses and biological tests, it does not provide any evidence for its claims regarding other anti-insect compounds or their effects on CWs. Furthermore, while the article does present both sides of the argument equally, it does not explore any unexplored counterarguments or missing points of consideration that could be made against its claims. </w:t>
      </w:r>
    </w:p>
    <w:p>
      <w:pPr>
        <w:jc w:val="both"/>
      </w:pPr>
      <w:r>
        <w:rPr/>
        <w:t xml:space="preserve">In conclusion, while this article is generally reliable and trustworthy due to its evidence-based approach and balanced presentation of both sides of the argument,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gut bacteria adaptation</w:t>
      </w:r>
    </w:p>
    <w:p>
      <w:pPr>
        <w:spacing w:after="0"/>
        <w:numPr>
          <w:ilvl w:val="0"/>
          <w:numId w:val="2"/>
        </w:numPr>
      </w:pPr>
      <w:r>
        <w:rPr/>
        <w:t xml:space="preserve">Counterarguments against gut bacteria adaptation</w:t>
      </w:r>
    </w:p>
    <w:p>
      <w:pPr>
        <w:spacing w:after="0"/>
        <w:numPr>
          <w:ilvl w:val="0"/>
          <w:numId w:val="2"/>
        </w:numPr>
      </w:pPr>
      <w:r>
        <w:rPr/>
        <w:t xml:space="preserve">Effects of other anti-insect compounds on Curculio chinensis</w:t>
      </w:r>
    </w:p>
    <w:p>
      <w:pPr>
        <w:spacing w:after="0"/>
        <w:numPr>
          <w:ilvl w:val="0"/>
          <w:numId w:val="2"/>
        </w:numPr>
      </w:pPr>
      <w:r>
        <w:rPr/>
        <w:t xml:space="preserve">Unexplored counterarguments against gut bacteria adaptation</w:t>
      </w:r>
    </w:p>
    <w:p>
      <w:pPr>
        <w:spacing w:after="0"/>
        <w:numPr>
          <w:ilvl w:val="0"/>
          <w:numId w:val="2"/>
        </w:numPr>
      </w:pPr>
      <w:r>
        <w:rPr/>
        <w:t xml:space="preserve">Missing points of consideration regarding gut bacteria adaptation</w:t>
      </w:r>
    </w:p>
    <w:p>
      <w:pPr>
        <w:numPr>
          <w:ilvl w:val="0"/>
          <w:numId w:val="2"/>
        </w:numPr>
      </w:pPr>
      <w:r>
        <w:rPr/>
        <w:t xml:space="preserve">Evidence-based research on gut bacteria adaptation</w:t>
      </w:r>
    </w:p>
    <w:p>
      <w:pPr>
        <w:pStyle w:val="Heading1"/>
      </w:pPr>
      <w:bookmarkStart w:id="6" w:name="_Toc6"/>
      <w:r>
        <w:t>Report location:</w:t>
      </w:r>
      <w:bookmarkEnd w:id="6"/>
    </w:p>
    <w:p>
      <w:hyperlink r:id="rId8" w:history="1">
        <w:r>
          <w:rPr>
            <w:color w:val="2980b9"/>
            <w:u w:val="single"/>
          </w:rPr>
          <w:t xml:space="preserve">https://www.fullpicture.app/item/367f56072e98c18468834a773469e391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C01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10.1128/spectrum.02272-22" TargetMode="External"/><Relationship Id="rId8" Type="http://schemas.openxmlformats.org/officeDocument/2006/relationships/hyperlink" Target="https://www.fullpicture.app/item/367f56072e98c18468834a773469e3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2023-02-19T18:52:13+01:00</dcterms:created>
  <dcterms:modified xsi:type="dcterms:W3CDTF">2023-02-19T18:52:13+01:00</dcterms:modified>
</cp:coreProperties>
</file>

<file path=docProps/custom.xml><?xml version="1.0" encoding="utf-8"?>
<Properties xmlns="http://schemas.openxmlformats.org/officeDocument/2006/custom-properties" xmlns:vt="http://schemas.openxmlformats.org/officeDocument/2006/docPropsVTypes"/>
</file>