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Parenteral BCG vaccine induces lung-resident memory macrophages and trained immunity via the gut-lung axis - PubMed</w:t>
      </w:r>
      <w:br/>
      <w:hyperlink r:id="rId7" w:history="1">
        <w:r>
          <w:rPr>
            <w:color w:val="2980b9"/>
            <w:u w:val="single"/>
          </w:rPr>
          <w:t xml:space="preserve">https://pubmed.ncbi.nlm.nih.gov/36456739/</w:t>
        </w:r>
      </w:hyperlink>
    </w:p>
    <w:p>
      <w:pPr>
        <w:pStyle w:val="Heading1"/>
      </w:pPr>
      <w:bookmarkStart w:id="2" w:name="_Toc2"/>
      <w:r>
        <w:t>Article summary:</w:t>
      </w:r>
      <w:bookmarkEnd w:id="2"/>
    </w:p>
    <w:p>
      <w:pPr>
        <w:jc w:val="both"/>
      </w:pPr>
      <w:r>
        <w:rPr/>
        <w:t xml:space="preserve">1. Parenteral BCG vaccination can induce memory alveolar macrophages (AMs) and trained immunity in the lung.</w:t>
      </w:r>
    </w:p>
    <w:p>
      <w:pPr>
        <w:jc w:val="both"/>
      </w:pPr>
      <w:r>
        <w:rPr/>
        <w:t xml:space="preserve">2. The induction of memory AMs is independent of circulating monocytes, but rather caused by a time-dependent alteration in the intestinal microbiome, barrier function and microbial metabolites.</w:t>
      </w:r>
    </w:p>
    <w:p>
      <w:pPr>
        <w:jc w:val="both"/>
      </w:pPr>
      <w:r>
        <w:rPr/>
        <w:t xml:space="preserve">3. These findings suggest an intestinal microbiota-mediated pathway for innate immune memory development at distal mucosal tissues, which has implications for the development of next-generation vaccine strategies against respiratory pathogens.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experiments conducted on mice. The authors have also provided detailed information about their methods and results, which allows readers to assess the validity of their conclusions. Furthermore, the authors have declared no competing interests, which suggests that they are not biased towards any particular outcome or conclusion.</w:t>
      </w:r>
    </w:p>
    <w:p>
      <w:pPr>
        <w:jc w:val="both"/>
      </w:pPr>
      <w:r>
        <w:rPr/>
        <w:t xml:space="preserve">However, there are some potential biases that should be noted. Firstly, the study was conducted on mice only, so it is unclear whether similar results would be seen in humans. Secondly, the study did not explore any possible risks associated with parenteral BCG vaccination or other interventions used in this study. Finally, while the authors provide evidence to support their claims, they do not present any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BCG vaccination safety</w:t>
      </w:r>
    </w:p>
    <w:p>
      <w:pPr>
        <w:spacing w:after="0"/>
        <w:numPr>
          <w:ilvl w:val="0"/>
          <w:numId w:val="2"/>
        </w:numPr>
      </w:pPr>
      <w:r>
        <w:rPr/>
        <w:t xml:space="preserve">BCG vaccination efficacy in humans</w:t>
      </w:r>
    </w:p>
    <w:p>
      <w:pPr>
        <w:spacing w:after="0"/>
        <w:numPr>
          <w:ilvl w:val="0"/>
          <w:numId w:val="2"/>
        </w:numPr>
      </w:pPr>
      <w:r>
        <w:rPr/>
        <w:t xml:space="preserve">BCG vaccination side effects</w:t>
      </w:r>
    </w:p>
    <w:p>
      <w:pPr>
        <w:spacing w:after="0"/>
        <w:numPr>
          <w:ilvl w:val="0"/>
          <w:numId w:val="2"/>
        </w:numPr>
      </w:pPr>
      <w:r>
        <w:rPr/>
        <w:t xml:space="preserve">BCG vaccination and immune system</w:t>
      </w:r>
    </w:p>
    <w:p>
      <w:pPr>
        <w:spacing w:after="0"/>
        <w:numPr>
          <w:ilvl w:val="0"/>
          <w:numId w:val="2"/>
        </w:numPr>
      </w:pPr>
      <w:r>
        <w:rPr/>
        <w:t xml:space="preserve">BCG vaccination and cancer</w:t>
      </w:r>
    </w:p>
    <w:p>
      <w:pPr>
        <w:numPr>
          <w:ilvl w:val="0"/>
          <w:numId w:val="2"/>
        </w:numPr>
      </w:pPr>
      <w:r>
        <w:rPr/>
        <w:t xml:space="preserve">BCG vaccination and other interventions</w:t>
      </w:r>
    </w:p>
    <w:p>
      <w:pPr>
        <w:pStyle w:val="Heading1"/>
      </w:pPr>
      <w:bookmarkStart w:id="6" w:name="_Toc6"/>
      <w:r>
        <w:t>Report location:</w:t>
      </w:r>
      <w:bookmarkEnd w:id="6"/>
    </w:p>
    <w:p>
      <w:hyperlink r:id="rId8" w:history="1">
        <w:r>
          <w:rPr>
            <w:color w:val="2980b9"/>
            <w:u w:val="single"/>
          </w:rPr>
          <w:t xml:space="preserve">https://www.fullpicture.app/item/36a6bf0c0f2b5af8cb0c0e85c37d9a32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4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56739/" TargetMode="External"/><Relationship Id="rId8" Type="http://schemas.openxmlformats.org/officeDocument/2006/relationships/hyperlink" Target="https://www.fullpicture.app/item/36a6bf0c0f2b5af8cb0c0e85c37d9a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2023-02-22T02:43:07+01:00</dcterms:created>
  <dcterms:modified xsi:type="dcterms:W3CDTF">2023-02-22T02:43:07+01:00</dcterms:modified>
</cp:coreProperties>
</file>

<file path=docProps/custom.xml><?xml version="1.0" encoding="utf-8"?>
<Properties xmlns="http://schemas.openxmlformats.org/officeDocument/2006/custom-properties" xmlns:vt="http://schemas.openxmlformats.org/officeDocument/2006/docPropsVTypes"/>
</file>