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Matrix Metalloproteinases/Tissue Inhibitors of Metalloproteinases Ratio: A Biomarker of Bone Resorption in Geriatric Osteoporosis? - PMC</w:t>
      </w:r>
      <w:br/>
      <w:hyperlink r:id="rId7" w:history="1">
        <w:r>
          <w:rPr>
            <w:color w:val="2980b9"/>
            <w:u w:val="single"/>
          </w:rPr>
          <w:t xml:space="preserve">https://www.ncbi.nlm.nih.gov/pmc/articles/PMC10326399/</w:t>
        </w:r>
      </w:hyperlink>
    </w:p>
    <w:p>
      <w:pPr>
        <w:pStyle w:val="Heading1"/>
      </w:pPr>
      <w:bookmarkStart w:id="2" w:name="_Toc2"/>
      <w:r>
        <w:t>Article summary:</w:t>
      </w:r>
      <w:bookmarkEnd w:id="2"/>
    </w:p>
    <w:p>
      <w:pPr>
        <w:jc w:val="both"/>
      </w:pPr>
      <w:r>
        <w:rPr/>
        <w:t xml:space="preserve">1. 本研究探讨了基质金属蛋白酶（MMPs）/组织金属蛋白酶抑制剂（TIMPs）比值作为老年骨质疏松症骨吸收的生物标志物，并评估了骨质疏松症与老年综合征之间的关系。</w:t>
      </w:r>
    </w:p>
    <w:p>
      <w:pPr>
        <w:jc w:val="both"/>
      </w:pPr>
      <w:r>
        <w:rPr/>
        <w:t xml:space="preserve"/>
      </w:r>
    </w:p>
    <w:p>
      <w:pPr>
        <w:jc w:val="both"/>
      </w:pPr>
      <w:r>
        <w:rPr/>
        <w:t xml:space="preserve">2. 研究结果显示，老年骨质疏松症患者的日常生活能力较差，而仪器化日常生活能力得分显著较低。然而，在血清MMP、TIMP值和MMP/TIMP比值方面并没有额外的益处来展示老年骨质疏松症的骨吸收情况。</w:t>
      </w:r>
    </w:p>
    <w:p>
      <w:pPr>
        <w:jc w:val="both"/>
      </w:pPr>
      <w:r>
        <w:rPr/>
        <w:t xml:space="preserve"/>
      </w:r>
    </w:p>
    <w:p>
      <w:pPr>
        <w:jc w:val="both"/>
      </w:pPr>
      <w:r>
        <w:rPr/>
        <w:t xml:space="preserve">3. 这是第一项综合评估了骨质疏松症与多种老年综合征之间关系的研究。结果表明，骨质疏松症导致患者在基本和仪器化日常生活能力上依赖性增加。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骨质疏松在老年人中的骨吸收生物标志物的研究。文章提到了基质金属蛋白酶（MMPs）和组织金属蛋白酶抑制剂（TIMPs）在骨吸收中的重要作用，并探讨了MMP2/TIMP2和MMP9/TIMP1比值作为骨吸收生物标志物的潜力。此外，文章还评估了骨质疏松与老年综合征之间的关系。</w:t>
      </w:r>
    </w:p>
    <w:p>
      <w:pPr>
        <w:jc w:val="both"/>
      </w:pPr>
      <w:r>
        <w:rPr/>
        <w:t xml:space="preserve"/>
      </w:r>
    </w:p>
    <w:p>
      <w:pPr>
        <w:jc w:val="both"/>
      </w:pPr>
      <w:r>
        <w:rPr/>
        <w:t xml:space="preserve">然而，这篇文章存在一些潜在的偏见和问题。首先，文章没有提及研究样本的选择方法和标准，可能导致样本选择偏倚。其次，文章没有明确说明研究是否进行了随机分组或对照组设计，这可能影响结果的可靠性和推广性。</w:t>
      </w:r>
    </w:p>
    <w:p>
      <w:pPr>
        <w:jc w:val="both"/>
      </w:pPr>
      <w:r>
        <w:rPr/>
        <w:t xml:space="preserve"/>
      </w:r>
    </w:p>
    <w:p>
      <w:pPr>
        <w:jc w:val="both"/>
      </w:pPr>
      <w:r>
        <w:rPr/>
        <w:t xml:space="preserve">此外，文章没有提供足够的证据来支持作者所提出的主张。虽然作者声称MMP2/TIMP2和MMP9/TIMP1比值可以作为骨吸收生物标志物，但他们并没有提供相关数据或统计分析来支持这一观点。因此，读者无法确定这些比值是否真正与骨吸收有关。</w:t>
      </w:r>
    </w:p>
    <w:p>
      <w:pPr>
        <w:jc w:val="both"/>
      </w:pPr>
      <w:r>
        <w:rPr/>
        <w:t xml:space="preserve"/>
      </w:r>
    </w:p>
    <w:p>
      <w:pPr>
        <w:jc w:val="both"/>
      </w:pPr>
      <w:r>
        <w:rPr/>
        <w:t xml:space="preserve">此外，文章没有充分考虑到其他可能影响骨质疏松的因素。例如，文章没有提及患者的饮食习惯、运动水平和遗传因素等。这些因素在骨质疏松的发生和发展中起着重要作用，但在这篇文章中被忽略了。</w:t>
      </w:r>
    </w:p>
    <w:p>
      <w:pPr>
        <w:jc w:val="both"/>
      </w:pPr>
      <w:r>
        <w:rPr/>
        <w:t xml:space="preserve"/>
      </w:r>
    </w:p>
    <w:p>
      <w:pPr>
        <w:jc w:val="both"/>
      </w:pPr>
      <w:r>
        <w:rPr/>
        <w:t xml:space="preserve">最后，文章没有探讨可能存在的反驳观点或其他解释。它只提供了作者所支持的观点，并未对可能存在的不同观点进行充分讨论。这种片面性可能导致读者对问题的全面理解受到限制。</w:t>
      </w:r>
    </w:p>
    <w:p>
      <w:pPr>
        <w:jc w:val="both"/>
      </w:pPr>
      <w:r>
        <w:rPr/>
        <w:t xml:space="preserve"/>
      </w:r>
    </w:p>
    <w:p>
      <w:pPr>
        <w:jc w:val="both"/>
      </w:pPr>
      <w:r>
        <w:rPr/>
        <w:t xml:space="preserve">总之，这篇文章存在一些潜在的偏见和问题，包括缺乏证据支持、未考虑其他相关因素以及片面报道等。读者应该谨慎对待其中提出的主张，并寻找更多可靠的证据来支持或反驳这些主张。</w:t>
      </w:r>
    </w:p>
    <w:p>
      <w:pPr>
        <w:pStyle w:val="Heading1"/>
      </w:pPr>
      <w:bookmarkStart w:id="5" w:name="_Toc5"/>
      <w:r>
        <w:t>Topics for further research:</w:t>
      </w:r>
      <w:bookmarkEnd w:id="5"/>
    </w:p>
    <w:p>
      <w:pPr>
        <w:spacing w:after="0"/>
        <w:numPr>
          <w:ilvl w:val="0"/>
          <w:numId w:val="2"/>
        </w:numPr>
      </w:pPr>
      <w:r>
        <w:rPr/>
        <w:t xml:space="preserve">骨质疏松的病因和发展
</w:t>
      </w:r>
    </w:p>
    <w:p>
      <w:pPr>
        <w:spacing w:after="0"/>
        <w:numPr>
          <w:ilvl w:val="0"/>
          <w:numId w:val="2"/>
        </w:numPr>
      </w:pPr>
      <w:r>
        <w:rPr/>
        <w:t xml:space="preserve">MMPs和TIMPs在骨吸收中的作用机制
</w:t>
      </w:r>
    </w:p>
    <w:p>
      <w:pPr>
        <w:spacing w:after="0"/>
        <w:numPr>
          <w:ilvl w:val="0"/>
          <w:numId w:val="2"/>
        </w:numPr>
      </w:pPr>
      <w:r>
        <w:rPr/>
        <w:t xml:space="preserve">MMP2/TIMP2和MMP9/TIMP1比值作为骨吸收生物标志物的可靠性
</w:t>
      </w:r>
    </w:p>
    <w:p>
      <w:pPr>
        <w:spacing w:after="0"/>
        <w:numPr>
          <w:ilvl w:val="0"/>
          <w:numId w:val="2"/>
        </w:numPr>
      </w:pPr>
      <w:r>
        <w:rPr/>
        <w:t xml:space="preserve">骨质疏松与老年综合征的关系
</w:t>
      </w:r>
    </w:p>
    <w:p>
      <w:pPr>
        <w:spacing w:after="0"/>
        <w:numPr>
          <w:ilvl w:val="0"/>
          <w:numId w:val="2"/>
        </w:numPr>
      </w:pPr>
      <w:r>
        <w:rPr/>
        <w:t xml:space="preserve">其他可能影响骨质疏松的因素，如饮食习惯、运动水平和遗传因素
</w:t>
      </w:r>
    </w:p>
    <w:p>
      <w:pPr>
        <w:numPr>
          <w:ilvl w:val="0"/>
          <w:numId w:val="2"/>
        </w:numPr>
      </w:pPr>
      <w:r>
        <w:rPr/>
        <w:t xml:space="preserve">反驳观点或其他解释对于骨质疏松的影响</w:t>
      </w:r>
    </w:p>
    <w:p>
      <w:pPr>
        <w:pStyle w:val="Heading1"/>
      </w:pPr>
      <w:bookmarkStart w:id="6" w:name="_Toc6"/>
      <w:r>
        <w:t>Report location:</w:t>
      </w:r>
      <w:bookmarkEnd w:id="6"/>
    </w:p>
    <w:p>
      <w:hyperlink r:id="rId8" w:history="1">
        <w:r>
          <w:rPr>
            <w:color w:val="2980b9"/>
            <w:u w:val="single"/>
          </w:rPr>
          <w:t xml:space="preserve">https://www.fullpicture.app/item/37320f4d2eb5a4e589ba383e137042e9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BB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26399/" TargetMode="External"/><Relationship Id="rId8" Type="http://schemas.openxmlformats.org/officeDocument/2006/relationships/hyperlink" Target="https://www.fullpicture.app/item/37320f4d2eb5a4e589ba383e13704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2023-09-04T12:56:25+02:00</dcterms:created>
  <dcterms:modified xsi:type="dcterms:W3CDTF">2023-09-04T12:56:25+02:00</dcterms:modified>
</cp:coreProperties>
</file>

<file path=docProps/custom.xml><?xml version="1.0" encoding="utf-8"?>
<Properties xmlns="http://schemas.openxmlformats.org/officeDocument/2006/custom-properties" xmlns:vt="http://schemas.openxmlformats.org/officeDocument/2006/docPropsVTypes"/>
</file>