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Trade Finance in the Presence of Information Frictions and FinTech | Manufacturing &amp; Service Operations Management</w:t>
      </w:r>
      <w:br/>
      <w:hyperlink r:id="rId7" w:history="1">
        <w:r>
          <w:rPr>
            <w:color w:val="2980b9"/>
            <w:u w:val="single"/>
          </w:rPr>
          <w:t xml:space="preserve">https://pubsonline.informs.org/doi/abs/10.1287/msom.2022.1102</w:t>
        </w:r>
      </w:hyperlink>
    </w:p>
    <w:p>
      <w:pPr>
        <w:pStyle w:val="Heading1"/>
      </w:pPr>
      <w:bookmarkStart w:id="2" w:name="_Toc2"/>
      <w:r>
        <w:t>Article summary:</w:t>
      </w:r>
      <w:bookmarkEnd w:id="2"/>
    </w:p>
    <w:p>
      <w:pPr>
        <w:jc w:val="both"/>
      </w:pPr>
      <w:r>
        <w:rPr/>
        <w:t xml:space="preserve">1. The paper examines the value of dynamic trade finance (DTF), a bank-intermediated trade finance contract where loan interest rates are adjusted as an order passes through different steps in the trade process.</w:t>
      </w:r>
    </w:p>
    <w:p>
      <w:pPr>
        <w:jc w:val="both"/>
      </w:pPr>
      <w:r>
        <w:rPr/>
        <w:t xml:space="preserve">2. The study analyzes the impact of process uncertainties and information frictions on DTF's value and its strategic interaction with FinTech.</w:t>
      </w:r>
    </w:p>
    <w:p>
      <w:pPr>
        <w:jc w:val="both"/>
      </w:pPr>
      <w:r>
        <w:rPr/>
        <w:t xml:space="preserve">3. Results show that DTF reduces transactional deadweight loss and screening, with greater value for more reliable or lengthier trade processes, while severe information delay hurts its value convexly. FinTech can complement or substitute DTF depending on its ability to expedite information transmission and verification and segment customers efficiently.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"Dynamic Trade Finance in the Presence of Information Frictions and FinTech" explores the value of an innovative bank-intermediated trade finance contract called dynamic trade finance (DTF). The paper examines the impact of process uncertainties and information frictions on DTF's value and its strategic interaction with FinTech. While the article provides valuable insights into the potential benefits of DTF, it also has some limitations.</w:t>
      </w:r>
    </w:p>
    <w:p>
      <w:pPr>
        <w:jc w:val="both"/>
      </w:pPr>
      <w:r>
        <w:rPr/>
        <w:t xml:space="preserve"/>
      </w:r>
    </w:p>
    <w:p>
      <w:pPr>
        <w:jc w:val="both"/>
      </w:pPr>
      <w:r>
        <w:rPr/>
        <w:t xml:space="preserve">One potential bias in the article is that it assumes that DTF is a superior financing option compared to uniform financing. The authors argue that DTF can reduce transactional deadweight loss and screening costs, making it more valuable for reliable or lengthier trade processes. However, they do not consider situations where uniform financing may be more appropriate, such as when there is less uncertainty in the trade process or when borrowers have a good credit history.</w:t>
      </w:r>
    </w:p>
    <w:p>
      <w:pPr>
        <w:jc w:val="both"/>
      </w:pPr>
      <w:r>
        <w:rPr/>
        <w:t xml:space="preserve"/>
      </w:r>
    </w:p>
    <w:p>
      <w:pPr>
        <w:jc w:val="both"/>
      </w:pPr>
      <w:r>
        <w:rPr/>
        <w:t xml:space="preserve">Another limitation of the article is that it does not explore counterarguments to its claims. For example, while the authors suggest that FinTech can complement DTF by expediting information transmission and verification, they do not consider potential risks associated with relying too heavily on technology. For instance, if a FinTech platform fails or experiences a security breach, it could disrupt trade finance operations and lead to financial losses.</w:t>
      </w:r>
    </w:p>
    <w:p>
      <w:pPr>
        <w:jc w:val="both"/>
      </w:pPr>
      <w:r>
        <w:rPr/>
        <w:t xml:space="preserve"/>
      </w:r>
    </w:p>
    <w:p>
      <w:pPr>
        <w:jc w:val="both"/>
      </w:pPr>
      <w:r>
        <w:rPr/>
        <w:t xml:space="preserve">The article also has some missing points of consideration. For instance, while it acknowledges that banks face regulatory capital requirements when issuing risky loans, it does not explore how these requirements may affect their willingness to offer DTF. Additionally, while the authors suggest that FinTech can segment customers more efficiently than DTF, they do not provide evidence to support this claim.</w:t>
      </w:r>
    </w:p>
    <w:p>
      <w:pPr>
        <w:jc w:val="both"/>
      </w:pPr>
      <w:r>
        <w:rPr/>
        <w:t xml:space="preserve"/>
      </w:r>
    </w:p>
    <w:p>
      <w:pPr>
        <w:jc w:val="both"/>
      </w:pPr>
      <w:r>
        <w:rPr/>
        <w:t xml:space="preserve">Overall, while the article provides valuable insights into how underlying trade process dynamics and information frictions affect contract innovation in trade finance, it has some limitations. It would benefit from exploring counterarguments to its claims and considering situations where alternative financing options may be more appropriate. Additionally, providing evidence to support claims about FinTech's ability to segment customers more efficiently than DTF would strengthen the article's arguments.</w:t>
      </w:r>
    </w:p>
    <w:p>
      <w:pPr>
        <w:pStyle w:val="Heading1"/>
      </w:pPr>
      <w:bookmarkStart w:id="5" w:name="_Toc5"/>
      <w:r>
        <w:t>Topics for further research:</w:t>
      </w:r>
      <w:bookmarkEnd w:id="5"/>
    </w:p>
    <w:p>
      <w:pPr>
        <w:spacing w:after="0"/>
        <w:numPr>
          <w:ilvl w:val="0"/>
          <w:numId w:val="2"/>
        </w:numPr>
      </w:pPr>
      <w:r>
        <w:rPr/>
        <w:t xml:space="preserve">Impact of regulatory capital requirements on bank willingness to offer dynamic trade finance
</w:t>
      </w:r>
    </w:p>
    <w:p>
      <w:pPr>
        <w:spacing w:after="0"/>
        <w:numPr>
          <w:ilvl w:val="0"/>
          <w:numId w:val="2"/>
        </w:numPr>
      </w:pPr>
      <w:r>
        <w:rPr/>
        <w:t xml:space="preserve">Risks associated with relying heavily on FinTech in trade finance operations
</w:t>
      </w:r>
    </w:p>
    <w:p>
      <w:pPr>
        <w:spacing w:after="0"/>
        <w:numPr>
          <w:ilvl w:val="0"/>
          <w:numId w:val="2"/>
        </w:numPr>
      </w:pPr>
      <w:r>
        <w:rPr/>
        <w:t xml:space="preserve">Comparison of DTF and uniform financing in situations with less uncertainty or good borrower credit history
</w:t>
      </w:r>
    </w:p>
    <w:p>
      <w:pPr>
        <w:spacing w:after="0"/>
        <w:numPr>
          <w:ilvl w:val="0"/>
          <w:numId w:val="2"/>
        </w:numPr>
      </w:pPr>
      <w:r>
        <w:rPr/>
        <w:t xml:space="preserve">Evidence supporting FinTech's ability to segment customers more efficiently than DTF
</w:t>
      </w:r>
    </w:p>
    <w:p>
      <w:pPr>
        <w:spacing w:after="0"/>
        <w:numPr>
          <w:ilvl w:val="0"/>
          <w:numId w:val="2"/>
        </w:numPr>
      </w:pPr>
      <w:r>
        <w:rPr/>
        <w:t xml:space="preserve">Potential drawbacks of DTF in certain trade processes or industries
</w:t>
      </w:r>
    </w:p>
    <w:p>
      <w:pPr>
        <w:numPr>
          <w:ilvl w:val="0"/>
          <w:numId w:val="2"/>
        </w:numPr>
      </w:pPr>
      <w:r>
        <w:rPr/>
        <w:t xml:space="preserve">Alternative financing options for trade finance beyond DTF and uniform financing</w:t>
      </w:r>
    </w:p>
    <w:p>
      <w:pPr>
        <w:pStyle w:val="Heading1"/>
      </w:pPr>
      <w:bookmarkStart w:id="6" w:name="_Toc6"/>
      <w:r>
        <w:t>Report location:</w:t>
      </w:r>
      <w:bookmarkEnd w:id="6"/>
    </w:p>
    <w:p>
      <w:hyperlink r:id="rId8" w:history="1">
        <w:r>
          <w:rPr>
            <w:color w:val="2980b9"/>
            <w:u w:val="single"/>
          </w:rPr>
          <w:t xml:space="preserve">https://www.fullpicture.app/item/37a84a29f8131cd85a8b376bc18c0bab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F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som.2022.1102" TargetMode="External"/><Relationship Id="rId8" Type="http://schemas.openxmlformats.org/officeDocument/2006/relationships/hyperlink" Target="https://www.fullpicture.app/item/37a84a29f8131cd85a8b376bc18c0b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2023-05-18T09:51:04+02:00</dcterms:created>
  <dcterms:modified xsi:type="dcterms:W3CDTF">2023-05-18T09:51:04+02:00</dcterms:modified>
</cp:coreProperties>
</file>

<file path=docProps/custom.xml><?xml version="1.0" encoding="utf-8"?>
<Properties xmlns="http://schemas.openxmlformats.org/officeDocument/2006/custom-properties" xmlns:vt="http://schemas.openxmlformats.org/officeDocument/2006/docPropsVTypes"/>
</file>