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CEO Political Leanings and Store‐Level Economic Activity during the COVID‐19 Crisis: Effects on Shareholder Value and Public Health - BIZJAK - 2022 - The Journal of Finance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https://onlinelibrary.wiley.com/doi/10.1111/jofi.13173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CEO的政治倾向与店铺经济活动在COVID-19危机期间对股东价值和公共健康的影响。</w:t>
      </w:r>
    </w:p>
    <w:p>
      <w:pPr>
        <w:jc w:val="both"/>
      </w:pPr>
      <w:r>
        <w:rPr/>
        <w:t xml:space="preserve">2. 研究发现，CEO的政治倾向与店铺经济活动之间存在显著关联，这可能会影响股东价值和公共健康。</w:t>
      </w:r>
    </w:p>
    <w:p>
      <w:pPr>
        <w:jc w:val="both"/>
      </w:pPr>
      <w:r>
        <w:rPr/>
        <w:t xml:space="preserve">3. 该研究使用了SafeGraph提供的数据，并得出结论，CEO的政治倾向可能会影响公司在COVID-19危机期间的表现。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从文章的作者和机构来看，可以看出可能存在某些偏见或倾向。此外，需要注意到该研究的局限性和可能存在的风险，并且应该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tendencies of the author and institution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the research
</w:t>
      </w:r>
    </w:p>
    <w:p>
      <w:pPr>
        <w:spacing w:after="0"/>
        <w:numPr>
          <w:ilvl w:val="0"/>
          <w:numId w:val="2"/>
        </w:numPr>
      </w:pPr>
      <w:r>
        <w:rPr/>
        <w:t xml:space="preserve">Need for equal presentation of both sides of the issue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the article
</w:t>
      </w:r>
    </w:p>
    <w:p>
      <w:pPr>
        <w:numPr>
          <w:ilvl w:val="0"/>
          <w:numId w:val="2"/>
        </w:numPr>
      </w:pPr>
      <w:r>
        <w:rPr/>
        <w:t xml:space="preserve">Consideration of the article's context and background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https://www.fullpicture.app/item/38b39a6b9c93cbc2c449d5d134b63f16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5EB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jofi.13173" TargetMode="External"/><Relationship Id="rId8" Type="http://schemas.openxmlformats.org/officeDocument/2006/relationships/hyperlink" Target="https://www.fullpicture.app/item/38b39a6b9c93cbc2c449d5d134b63f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2024-01-07T14:12:51+01:00</dcterms:created>
  <dcterms:modified xsi:type="dcterms:W3CDTF">2024-01-07T14:12:51+01:00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