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 Novel Nomogram to Predict Progression Based on the Circadian Clock and Insights Into the Tumor Immune Microenvironment in Prostate Cancer - PMC</w:t>
      </w:r>
      <w:br/>
      <w:hyperlink r:id="rId7" w:history="1">
        <w:r>
          <w:rPr>
            <w:color w:val="2980b9"/>
            <w:u w:val="single"/>
          </w:rPr>
          <w:t xml:space="preserve">https://www.ncbi.nlm.nih.gov/pmc/articles/PMC8829569/</w:t>
        </w:r>
      </w:hyperlink>
    </w:p>
    <w:p>
      <w:pPr>
        <w:pStyle w:val="Heading1"/>
      </w:pPr>
      <w:bookmarkStart w:id="2" w:name="_Toc2"/>
      <w:r>
        <w:t>Article summary:</w:t>
      </w:r>
      <w:bookmarkEnd w:id="2"/>
    </w:p>
    <w:p>
      <w:pPr>
        <w:jc w:val="both"/>
      </w:pPr>
      <w:r>
        <w:rPr/>
        <w:t xml:space="preserve">1. This study established a novel nomogram to predict prostate cancer (PCA) progression based on circadian clock (CIC)-related genes.</w:t>
      </w:r>
    </w:p>
    <w:p>
      <w:pPr>
        <w:jc w:val="both"/>
      </w:pPr>
      <w:r>
        <w:rPr/>
        <w:t xml:space="preserve">2. Ten genes were identified to construct a gene signature to predict progression probability for patients with PCA.</w:t>
      </w:r>
    </w:p>
    <w:p>
      <w:pPr>
        <w:jc w:val="both"/>
      </w:pPr>
      <w:r>
        <w:rPr/>
        <w:t xml:space="preserve">3. The tumor immune microenvironment was evaluated and patients with higher risk scores showed lower mRNA expression of PER1, PER2, and CRY2 and higher expression of CSNK1E.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of a Novel Nomogram to Predict Progression Based on the Circadian Clock and Insights Into the Tumor Immune Microenvironment in Prostate Cancer” is an informative piece that provides insight into the potential role of the circadian clock in prostate cancer progression. The authors have used data from two databases, TCGA and Genecards, to identify potential candidate genes related to the circadian clock and then applied Lasso and Cox regression analyses to develop a CIC-related gene signature. Furthermore, they have evaluated the tumor immune microenvironment through appropriate statistical methods and the GSCALite database. </w:t>
      </w:r>
    </w:p>
    <w:p>
      <w:pPr>
        <w:jc w:val="both"/>
      </w:pPr>
      <w:r>
        <w:rPr/>
        <w:t xml:space="preserve">The article is generally reliable as it provides evidence for its claims by citing relevant studies in its references section. However, there are some points that could be improved upon such as providing more information about how exactly the data was collected from TCGA and Genecards databases, as well as providing more detail about how exactly the Lasso and Cox regression analyses were conducted. Additionally, while the authors provide evidence for their claims regarding correlations between certain genes and anti-oncogenes or oncogenes, they do not provide any evidence for their claims regarding correlations between risk score and tumor mutation burden (TMB) score or microsatellite instability (MSI) score. Furthermore, while they provide evidence for their claims regarding correlations between certain genes and PD-L1/PD-L2/TIGIT/SIGLEC15 levels, they do not provide any evidence for their claim that patients with higher risk scores are associated with significantly lower levels of neutrophils/NK cells/T helper type 1/mast cells than those with lower risk scores. </w:t>
      </w:r>
    </w:p>
    <w:p>
      <w:pPr>
        <w:jc w:val="both"/>
      </w:pPr>
      <w:r>
        <w:rPr/>
        <w:t xml:space="preserve">In conclusion, this article is generally reliable but could benefit from providing more detail about how exactly data was collected from TCGA and Genecards databases as well as providing more evidence for some of its claims such as those regarding correlations between risk score and TMB score or MSI score or those regarding associations between risk score levels and neutrophil/NK cell/T helper type 1/mast cell levels.</w:t>
      </w:r>
    </w:p>
    <w:p>
      <w:pPr>
        <w:pStyle w:val="Heading1"/>
      </w:pPr>
      <w:bookmarkStart w:id="5" w:name="_Toc5"/>
      <w:r>
        <w:t>Topics for further research:</w:t>
      </w:r>
      <w:bookmarkEnd w:id="5"/>
    </w:p>
    <w:p>
      <w:pPr>
        <w:spacing w:after="0"/>
        <w:numPr>
          <w:ilvl w:val="0"/>
          <w:numId w:val="2"/>
        </w:numPr>
      </w:pPr>
      <w:r>
        <w:rPr/>
        <w:t xml:space="preserve">TCGA database</w:t>
      </w:r>
    </w:p>
    <w:p>
      <w:pPr>
        <w:spacing w:after="0"/>
        <w:numPr>
          <w:ilvl w:val="0"/>
          <w:numId w:val="2"/>
        </w:numPr>
      </w:pPr>
      <w:r>
        <w:rPr/>
        <w:t xml:space="preserve">Genecards database</w:t>
      </w:r>
    </w:p>
    <w:p>
      <w:pPr>
        <w:spacing w:after="0"/>
        <w:numPr>
          <w:ilvl w:val="0"/>
          <w:numId w:val="2"/>
        </w:numPr>
      </w:pPr>
      <w:r>
        <w:rPr/>
        <w:t xml:space="preserve">Lasso regression analysis</w:t>
      </w:r>
    </w:p>
    <w:p>
      <w:pPr>
        <w:spacing w:after="0"/>
        <w:numPr>
          <w:ilvl w:val="0"/>
          <w:numId w:val="2"/>
        </w:numPr>
      </w:pPr>
      <w:r>
        <w:rPr/>
        <w:t xml:space="preserve">Cox regression analysis</w:t>
      </w:r>
    </w:p>
    <w:p>
      <w:pPr>
        <w:spacing w:after="0"/>
        <w:numPr>
          <w:ilvl w:val="0"/>
          <w:numId w:val="2"/>
        </w:numPr>
      </w:pPr>
      <w:r>
        <w:rPr/>
        <w:t xml:space="preserve">Tumor mutation burden (TMB) score</w:t>
      </w:r>
    </w:p>
    <w:p>
      <w:pPr>
        <w:numPr>
          <w:ilvl w:val="0"/>
          <w:numId w:val="2"/>
        </w:numPr>
      </w:pPr>
      <w:r>
        <w:rPr/>
        <w:t xml:space="preserve">Microsatellite instability (MSI) score</w:t>
      </w:r>
    </w:p>
    <w:p>
      <w:pPr>
        <w:pStyle w:val="Heading1"/>
      </w:pPr>
      <w:bookmarkStart w:id="6" w:name="_Toc6"/>
      <w:r>
        <w:t>Report location:</w:t>
      </w:r>
      <w:bookmarkEnd w:id="6"/>
    </w:p>
    <w:p>
      <w:hyperlink r:id="rId8" w:history="1">
        <w:r>
          <w:rPr>
            <w:color w:val="2980b9"/>
            <w:u w:val="single"/>
          </w:rPr>
          <w:t xml:space="preserve">https://www.fullpicture.app/item/3a43e003d21e95b891852a71c9d822f7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D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29569/" TargetMode="External"/><Relationship Id="rId8" Type="http://schemas.openxmlformats.org/officeDocument/2006/relationships/hyperlink" Target="https://www.fullpicture.app/item/3a43e003d21e95b891852a71c9d82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2023-02-21T13:03:48+01:00</dcterms:created>
  <dcterms:modified xsi:type="dcterms:W3CDTF">2023-02-21T13:03:48+01:00</dcterms:modified>
</cp:coreProperties>
</file>

<file path=docProps/custom.xml><?xml version="1.0" encoding="utf-8"?>
<Properties xmlns="http://schemas.openxmlformats.org/officeDocument/2006/custom-properties" xmlns:vt="http://schemas.openxmlformats.org/officeDocument/2006/docPropsVTypes"/>
</file>