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新的社会阶层人士参与社会治理的意义、优势与路径 - 中国知网</w:t></w:r><w:br/><w:hyperlink r:id="rId7" w:history="1"><w:r><w:rPr><w:color w:val="2980b9"/><w:u w:val="single"/></w:rPr><w:t xml:space="preserve">https://kns.cnki.net/kcms2/article/abstract?v=3uoqIhG8C44YLTlOAiTRKibYlV5Vjs7ioT0BO4yQ4m_mOgeS2ml3UHbCzUtBdc3EpcGw_K3Dvy0U3GPDOB14BKBX39XP9OOT&uniplatform=NZKPT</w:t></w:r></w:hyperlink></w:p><w:p><w:pPr><w:pStyle w:val="Heading1"/></w:pPr><w:bookmarkStart w:id="2" w:name="_Toc2"/><w:r><w:t>Article summary:</w:t></w:r><w:bookmarkEnd w:id="2"/></w:p><w:p><w:pPr><w:jc w:val="both"/></w:pPr><w:r><w:rPr/><w:t xml:space="preserve">1. New social classes have important implications for promoting social harmony and order, consolidating the party's mass base, and building a community of social governance.</w:t></w:r></w:p><w:p><w:pPr><w:jc w:val="both"/></w:pPr><w:r><w:rPr/><w:t xml:space="preserve">2. They have advantages in terms of personnel numbers, professional skills, economic strength, social status, and political participation.</w:t></w:r></w:p><w:p><w:pPr><w:jc w:val="both"/></w:pPr><w:r><w:rPr/><w:t xml:space="preserve">3. The government should strengthen its political guidance to new social classes, build organizational platforms, optimize service environments, and stimulate their enthusiasm and initiative to participate in social governance.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overview of the importance of new social classes participating in social governance as well as their advantages. It also offers practical paths for the government to take in order to facilitate their involvement. The article does not appear to be biased or one-sided as it presents both sides equally without any promotional content or partiality. It also does not make unsupported claims or missing points of consideration; instead it provides evidence for its claims made and explores counterarguments where necessary. Furthermore, possible risks are noted throughout the article which adds to its trustworthiness and reliability.</w:t></w:r></w:p><w:p><w:pPr><w:pStyle w:val="Heading1"/></w:pPr><w:bookmarkStart w:id="5" w:name="_Toc5"/><w:r><w:t>Topics for further research:</w:t></w:r><w:bookmarkEnd w:id="5"/></w:p><w:p><w:pPr><w:spacing w:after="0"/><w:numPr><w:ilvl w:val="0"/><w:numId w:val="2"/></w:numPr></w:pPr><w:r><w:rPr/><w:t xml:space="preserve">Social class representation in governance</w:t></w:r></w:p><w:p><w:pPr><w:spacing w:after="0"/><w:numPr><w:ilvl w:val="0"/><w:numId w:val="2"/></w:numPr></w:pPr><w:r><w:rPr/><w:t xml:space="preserve">Social class participation in policymaking</w:t></w:r></w:p><w:p><w:pPr><w:spacing w:after="0"/><w:numPr><w:ilvl w:val="0"/><w:numId w:val="2"/></w:numPr></w:pPr><w:r><w:rPr/><w:t xml:space="preserve">Social class inclusion in decision-making</w:t></w:r></w:p><w:p><w:pPr><w:spacing w:after="0"/><w:numPr><w:ilvl w:val="0"/><w:numId w:val="2"/></w:numPr></w:pPr><w:r><w:rPr/><w:t xml:space="preserve">Social class diversity in public administration</w:t></w:r></w:p><w:p><w:pPr><w:spacing w:after="0"/><w:numPr><w:ilvl w:val="0"/><w:numId w:val="2"/></w:numPr></w:pPr><w:r><w:rPr/><w:t xml:space="preserve">Social class engagement in public policy</w:t></w:r></w:p><w:p><w:pPr><w:numPr><w:ilvl w:val="0"/><w:numId w:val="2"/></w:numPr></w:pPr><w:r><w:rPr/><w:t xml:space="preserve">Social class empowerment in government</w:t></w:r></w:p><w:p><w:pPr><w:pStyle w:val="Heading1"/></w:pPr><w:bookmarkStart w:id="6" w:name="_Toc6"/><w:r><w:t>Report location:</w:t></w:r><w:bookmarkEnd w:id="6"/></w:p><w:p><w:hyperlink r:id="rId8" w:history="1"><w:r><w:rPr><w:color w:val="2980b9"/><w:u w:val="single"/></w:rPr><w:t xml:space="preserve">https://www.fullpicture.app/item/3b14329793ff6604c4c2368ae68863e2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FF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HbCzUtBdc3EpcGw_K3Dvy0U3GPDOB14BKBX39XP9OOT&amp;uniplatform=NZKPT" TargetMode="External"/><Relationship Id="rId8" Type="http://schemas.openxmlformats.org/officeDocument/2006/relationships/hyperlink" Target="https://www.fullpicture.app/item/3b14329793ff6604c4c2368ae68863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2023-02-24T02:50:22+01:00</dcterms:created>
  <dcterms:modified xsi:type="dcterms:W3CDTF">2023-02-24T02:50:22+01:00</dcterms:modified>
</cp:coreProperties>
</file>

<file path=docProps/custom.xml><?xml version="1.0" encoding="utf-8"?>
<Properties xmlns="http://schemas.openxmlformats.org/officeDocument/2006/custom-properties" xmlns:vt="http://schemas.openxmlformats.org/officeDocument/2006/docPropsVTypes"/>
</file>