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 32 GDPR – Security of processing - General Data Protection Regulation (GDPR)</w:t>
      </w:r>
      <w:br/>
      <w:hyperlink r:id="rId7" w:history="1">
        <w:r>
          <w:rPr>
            <w:color w:val="2980b9"/>
            <w:u w:val="single"/>
          </w:rPr>
          <w:t xml:space="preserve">https://gdpr-info.eu/art-32-gdpr/</w:t>
        </w:r>
      </w:hyperlink>
    </w:p>
    <w:p>
      <w:pPr>
        <w:pStyle w:val="Heading1"/>
      </w:pPr>
      <w:bookmarkStart w:id="2" w:name="_Toc2"/>
      <w:r>
        <w:t>Article summary:</w:t>
      </w:r>
      <w:bookmarkEnd w:id="2"/>
    </w:p>
    <w:p>
      <w:pPr>
        <w:jc w:val="both"/>
      </w:pPr>
      <w:r>
        <w:rPr/>
        <w:t xml:space="preserve">1. Article 32 of GDPR requires controllers and processors to implement appropriate technical and organizational measures to ensure a level of security appropriate to the risk.</w:t>
      </w:r>
    </w:p>
    <w:p>
      <w:pPr>
        <w:jc w:val="both"/>
      </w:pPr>
      <w:r>
        <w:rPr/>
        <w:t xml:space="preserve">2. The measures include pseudonymisation and encryption of personal data, ensuring confidentiality, integrity, availability, and resilience of processing systems, and having a process for regularly testing the effectiveness of security measures.</w:t>
      </w:r>
    </w:p>
    <w:p>
      <w:pPr>
        <w:jc w:val="both"/>
      </w:pPr>
      <w:r>
        <w:rPr/>
        <w:t xml:space="preserve">3. Adherence to an approved code of conduct or certification mechanism may be used as evidence of compliance with the requirements set out in Article 32.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Article 32 of the General Data Protection Regulation (GDPR), which outlines the security measures that controllers and processors must implement to protect personal data. The article provides a clear overview of the requirements, including pseudonymisation and encryption of personal data, ongoing confidentiality, integrity, availability, and resilience of processing systems and services, timely restoration of access to personal data in case of incidents, and regular testing and evaluation of security measures.</w:t>
      </w:r>
    </w:p>
    <w:p>
      <w:pPr>
        <w:jc w:val="both"/>
      </w:pPr>
      <w:r>
        <w:rPr/>
        <w:t xml:space="preserve"/>
      </w:r>
    </w:p>
    <w:p>
      <w:pPr>
        <w:jc w:val="both"/>
      </w:pPr>
      <w:r>
        <w:rPr/>
        <w:t xml:space="preserve">However, the article does not provide any critical analysis or insights into potential biases or sources of bias. It also does not present any counterarguments or explore potential risks associated with implementing these security measures. Additionally, there is no evidence provided for the claims made in the article.</w:t>
      </w:r>
    </w:p>
    <w:p>
      <w:pPr>
        <w:jc w:val="both"/>
      </w:pPr>
      <w:r>
        <w:rPr/>
        <w:t xml:space="preserve"/>
      </w:r>
    </w:p>
    <w:p>
      <w:pPr>
        <w:jc w:val="both"/>
      </w:pPr>
      <w:r>
        <w:rPr/>
        <w:t xml:space="preserve">Furthermore, the article does not address some important points of consideration related to Article 32. For example, it does not discuss how controllers and processors should assess the appropriate level of security based on the nature and scope of their processing activities. It also does not mention how they should balance the costs of implementation with the need for adequate security measures.</w:t>
      </w:r>
    </w:p>
    <w:p>
      <w:pPr>
        <w:jc w:val="both"/>
      </w:pPr>
      <w:r>
        <w:rPr/>
        <w:t xml:space="preserve"/>
      </w:r>
    </w:p>
    <w:p>
      <w:pPr>
        <w:jc w:val="both"/>
      </w:pPr>
      <w:r>
        <w:rPr/>
        <w:t xml:space="preserve">Overall, while this article provides a useful summary of Article 32 GDPR, it lacks critical analysis and fails to address some important considerations related to implementing appropriate security measures for protecting personal data.</w:t>
      </w:r>
    </w:p>
    <w:p>
      <w:pPr>
        <w:pStyle w:val="Heading1"/>
      </w:pPr>
      <w:bookmarkStart w:id="5" w:name="_Toc5"/>
      <w:r>
        <w:t>Topics for further research:</w:t>
      </w:r>
      <w:bookmarkEnd w:id="5"/>
    </w:p>
    <w:p>
      <w:pPr>
        <w:spacing w:after="0"/>
        <w:numPr>
          <w:ilvl w:val="0"/>
          <w:numId w:val="2"/>
        </w:numPr>
      </w:pPr>
      <w:r>
        <w:rPr/>
        <w:t xml:space="preserve">How to assess appropriate security measures under Article 32 GDPR
</w:t>
      </w:r>
    </w:p>
    <w:p>
      <w:pPr>
        <w:spacing w:after="0"/>
        <w:numPr>
          <w:ilvl w:val="0"/>
          <w:numId w:val="2"/>
        </w:numPr>
      </w:pPr>
      <w:r>
        <w:rPr/>
        <w:t xml:space="preserve">Balancing costs and security measures under Article 32 GDPR
</w:t>
      </w:r>
    </w:p>
    <w:p>
      <w:pPr>
        <w:spacing w:after="0"/>
        <w:numPr>
          <w:ilvl w:val="0"/>
          <w:numId w:val="2"/>
        </w:numPr>
      </w:pPr>
      <w:r>
        <w:rPr/>
        <w:t xml:space="preserve">Potential risks associated with implementing security measures under Article 32 GDPR
</w:t>
      </w:r>
    </w:p>
    <w:p>
      <w:pPr>
        <w:spacing w:after="0"/>
        <w:numPr>
          <w:ilvl w:val="0"/>
          <w:numId w:val="2"/>
        </w:numPr>
      </w:pPr>
      <w:r>
        <w:rPr/>
        <w:t xml:space="preserve">Sources of bias in implementing security measures under Article 32 GDPR
</w:t>
      </w:r>
    </w:p>
    <w:p>
      <w:pPr>
        <w:spacing w:after="0"/>
        <w:numPr>
          <w:ilvl w:val="0"/>
          <w:numId w:val="2"/>
        </w:numPr>
      </w:pPr>
      <w:r>
        <w:rPr/>
        <w:t xml:space="preserve">Evidence-based approaches to implementing security measures under Article 32 GDPR
</w:t>
      </w:r>
    </w:p>
    <w:p>
      <w:pPr>
        <w:numPr>
          <w:ilvl w:val="0"/>
          <w:numId w:val="2"/>
        </w:numPr>
      </w:pPr>
      <w:r>
        <w:rPr/>
        <w:t xml:space="preserve">Best practices for testing and evaluating security measures under Article 32 GDPR</w:t>
      </w:r>
    </w:p>
    <w:p>
      <w:pPr>
        <w:pStyle w:val="Heading1"/>
      </w:pPr>
      <w:bookmarkStart w:id="6" w:name="_Toc6"/>
      <w:r>
        <w:t>Report location:</w:t>
      </w:r>
      <w:bookmarkEnd w:id="6"/>
    </w:p>
    <w:p>
      <w:hyperlink r:id="rId8" w:history="1">
        <w:r>
          <w:rPr>
            <w:color w:val="2980b9"/>
            <w:u w:val="single"/>
          </w:rPr>
          <w:t xml:space="preserve">https://www.fullpicture.app/item/3b2868a9c1095a546c5cbc97216f0084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0C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dpr-info.eu/art-32-gdpr/" TargetMode="External"/><Relationship Id="rId8" Type="http://schemas.openxmlformats.org/officeDocument/2006/relationships/hyperlink" Target="https://www.fullpicture.app/item/3b2868a9c1095a546c5cbc97216f00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2023-12-18T01:43:10+01:00</dcterms:created>
  <dcterms:modified xsi:type="dcterms:W3CDTF">2023-12-18T01:43:10+01:00</dcterms:modified>
</cp:coreProperties>
</file>

<file path=docProps/custom.xml><?xml version="1.0" encoding="utf-8"?>
<Properties xmlns="http://schemas.openxmlformats.org/officeDocument/2006/custom-properties" xmlns:vt="http://schemas.openxmlformats.org/officeDocument/2006/docPropsVTypes"/>
</file>