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Cell-programmed nutrient partitioning in the tumour microenvironment | Nature</w:t>
      </w:r>
      <w:br/>
      <w:hyperlink r:id="rId7" w:history="1">
        <w:r>
          <w:rPr>
            <w:color w:val="2980b9"/>
            <w:u w:val="single"/>
          </w:rPr>
          <w:t xml:space="preserve">https://www.nature.com/articles/s41586-021-03442-1</w:t>
        </w:r>
      </w:hyperlink>
    </w:p>
    <w:p>
      <w:pPr>
        <w:pStyle w:val="Heading1"/>
      </w:pPr>
      <w:bookmarkStart w:id="2" w:name="_Toc2"/>
      <w:r>
        <w:t>Article summary:</w:t>
      </w:r>
      <w:bookmarkEnd w:id="2"/>
    </w:p>
    <w:p>
      <w:pPr>
        <w:jc w:val="both"/>
      </w:pPr>
      <w:r>
        <w:rPr/>
        <w:t xml:space="preserve">1. Glucose is available in the tumour microenvironment (TME) and preferentially partitions into infiltrating immune cells more so than into cancer cells across multiple models.</w:t>
      </w:r>
    </w:p>
    <w:p>
      <w:pPr>
        <w:jc w:val="both"/>
      </w:pPr>
      <w:r>
        <w:rPr/>
        <w:t xml:space="preserve">2. Myeloid cells in the TME take up the most glucose, followed by T cells and then cancer cells.</w:t>
      </w:r>
    </w:p>
    <w:p>
      <w:pPr>
        <w:jc w:val="both"/>
      </w:pPr>
      <w:r>
        <w:rPr/>
        <w:t xml:space="preserve">3. These findings suggest that nutrient competition between cancer and immune cells may be a metabolic mechanism of immunosuppression in the TME.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"Cell-programmed nutrient partitioning in the tumour microenvironment" published in Nature discusses the role of glucose and glutamine metabolism in cancer cells and immune cells within the tumor microenvironment (TME). The authors use PET imaging to measure glucose uptake in different cell populations within tumors, finding that immune cells have a higher uptake of glucose than cancer cells. They also discuss the potential implications of this metabolic competition for anti-tumor immunity.</w:t>
      </w:r>
    </w:p>
    <w:p>
      <w:pPr>
        <w:jc w:val="both"/>
      </w:pPr>
      <w:r>
        <w:rPr/>
        <w:t xml:space="preserve"/>
      </w:r>
    </w:p>
    <w:p>
      <w:pPr>
        <w:jc w:val="both"/>
      </w:pPr>
      <w:r>
        <w:rPr/>
        <w:t xml:space="preserve">Overall, the article provides valuable insights into the metabolic dynamics of the TME. However, there are some potential biases and limitations to consider. </w:t>
      </w:r>
    </w:p>
    <w:p>
      <w:pPr>
        <w:jc w:val="both"/>
      </w:pPr>
      <w:r>
        <w:rPr/>
        <w:t xml:space="preserve"/>
      </w:r>
    </w:p>
    <w:p>
      <w:pPr>
        <w:jc w:val="both"/>
      </w:pPr>
      <w:r>
        <w:rPr/>
        <w:t xml:space="preserve">One limitation is that the study only focuses on glucose and glutamine metabolism, while other nutrients may also play important roles in tumor growth and immune function. Additionally, the study only examines a few tumor models, so it is unclear how generalizable these findings are to other types of cancer.</w:t>
      </w:r>
    </w:p>
    <w:p>
      <w:pPr>
        <w:jc w:val="both"/>
      </w:pPr>
      <w:r>
        <w:rPr/>
        <w:t xml:space="preserve"/>
      </w:r>
    </w:p>
    <w:p>
      <w:pPr>
        <w:jc w:val="both"/>
      </w:pPr>
      <w:r>
        <w:rPr/>
        <w:t xml:space="preserve">Another potential bias is that the article primarily focuses on the role of immune cells in glucose uptake, while downplaying or ignoring potential contributions from cancer cells themselves. While it is true that immune cells have high metabolic demands during inflammation and anti-tumor responses, cancer cells can also exhibit high rates of glycolysis and may compete with immune cells for glucose.</w:t>
      </w:r>
    </w:p>
    <w:p>
      <w:pPr>
        <w:jc w:val="both"/>
      </w:pPr>
      <w:r>
        <w:rPr/>
        <w:t xml:space="preserve"/>
      </w:r>
    </w:p>
    <w:p>
      <w:pPr>
        <w:jc w:val="both"/>
      </w:pPr>
      <w:r>
        <w:rPr/>
        <w:t xml:space="preserve">The article also makes some unsupported claims about the implications of these findings for anti-tumor immunity. For example, they suggest that depletion of glucose by cancer cells may drive immunosuppression through nutrient competition. While this is a plausible hypothesis, there is currently limited evidence to support this claim.</w:t>
      </w:r>
    </w:p>
    <w:p>
      <w:pPr>
        <w:jc w:val="both"/>
      </w:pPr>
      <w:r>
        <w:rPr/>
        <w:t xml:space="preserve"/>
      </w:r>
    </w:p>
    <w:p>
      <w:pPr>
        <w:jc w:val="both"/>
      </w:pPr>
      <w:r>
        <w:rPr/>
        <w:t xml:space="preserve">Finally, there are some potential conflicts of interest to consider. One author reports receiving research funding from several pharmaceutical companies involved in cancer treatment, which could potentially influence their interpretation of results or focus on certain aspects of tumor metabolism.</w:t>
      </w:r>
    </w:p>
    <w:p>
      <w:pPr>
        <w:jc w:val="both"/>
      </w:pPr>
      <w:r>
        <w:rPr/>
        <w:t xml:space="preserve"/>
      </w:r>
    </w:p>
    <w:p>
      <w:pPr>
        <w:jc w:val="both"/>
      </w:pPr>
      <w:r>
        <w:rPr/>
        <w:t xml:space="preserve">In conclusion, while this article provides valuable insights into metabolic dynamics within tumors, it is important to consider its limitations and potential biases when interpreting its findings. Further research will be needed to fully understand the complex interplay between cancer cells and immune cells in the TME.</w:t>
      </w:r>
    </w:p>
    <w:p>
      <w:pPr>
        <w:pStyle w:val="Heading1"/>
      </w:pPr>
      <w:bookmarkStart w:id="5" w:name="_Toc5"/>
      <w:r>
        <w:t>Topics for further research:</w:t>
      </w:r>
      <w:bookmarkEnd w:id="5"/>
    </w:p>
    <w:p>
      <w:pPr>
        <w:spacing w:after="0"/>
        <w:numPr>
          <w:ilvl w:val="0"/>
          <w:numId w:val="2"/>
        </w:numPr>
      </w:pPr>
      <w:r>
        <w:rPr/>
        <w:t xml:space="preserve">Other nutrients involved in tumor growth and immune function
</w:t>
      </w:r>
    </w:p>
    <w:p>
      <w:pPr>
        <w:spacing w:after="0"/>
        <w:numPr>
          <w:ilvl w:val="0"/>
          <w:numId w:val="2"/>
        </w:numPr>
      </w:pPr>
      <w:r>
        <w:rPr/>
        <w:t xml:space="preserve">Glucose uptake in cancer cells and its impact on tumor metabolism
</w:t>
      </w:r>
    </w:p>
    <w:p>
      <w:pPr>
        <w:spacing w:after="0"/>
        <w:numPr>
          <w:ilvl w:val="0"/>
          <w:numId w:val="2"/>
        </w:numPr>
      </w:pPr>
      <w:r>
        <w:rPr/>
        <w:t xml:space="preserve">Immune cell metabolism beyond glucose and glutamine
</w:t>
      </w:r>
    </w:p>
    <w:p>
      <w:pPr>
        <w:spacing w:after="0"/>
        <w:numPr>
          <w:ilvl w:val="0"/>
          <w:numId w:val="2"/>
        </w:numPr>
      </w:pPr>
      <w:r>
        <w:rPr/>
        <w:t xml:space="preserve">The role of tumor heterogeneity in metabolic competition
</w:t>
      </w:r>
    </w:p>
    <w:p>
      <w:pPr>
        <w:spacing w:after="0"/>
        <w:numPr>
          <w:ilvl w:val="0"/>
          <w:numId w:val="2"/>
        </w:numPr>
      </w:pPr>
      <w:r>
        <w:rPr/>
        <w:t xml:space="preserve">The impact of tumor metabolism on immunosuppression
</w:t>
      </w:r>
    </w:p>
    <w:p>
      <w:pPr>
        <w:numPr>
          <w:ilvl w:val="0"/>
          <w:numId w:val="2"/>
        </w:numPr>
      </w:pPr>
      <w:r>
        <w:rPr/>
        <w:t xml:space="preserve">Potential therapeutic targets for metabolic reprogramming in cancer treatment</w:t>
      </w:r>
    </w:p>
    <w:p>
      <w:pPr>
        <w:pStyle w:val="Heading1"/>
      </w:pPr>
      <w:bookmarkStart w:id="6" w:name="_Toc6"/>
      <w:r>
        <w:t>Report location:</w:t>
      </w:r>
      <w:bookmarkEnd w:id="6"/>
    </w:p>
    <w:p>
      <w:hyperlink r:id="rId8" w:history="1">
        <w:r>
          <w:rPr>
            <w:color w:val="2980b9"/>
            <w:u w:val="single"/>
          </w:rPr>
          <w:t xml:space="preserve">https://www.fullpicture.app/item/3baf75b6fd35d50f8e52a1f65e9d5bd6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C6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442-1" TargetMode="External"/><Relationship Id="rId8" Type="http://schemas.openxmlformats.org/officeDocument/2006/relationships/hyperlink" Target="https://www.fullpicture.app/item/3baf75b6fd35d50f8e52a1f65e9d5b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2024-02-02T06:39:06+01:00</dcterms:created>
  <dcterms:modified xsi:type="dcterms:W3CDTF">2024-02-02T06:39:06+01:00</dcterms:modified>
</cp:coreProperties>
</file>

<file path=docProps/custom.xml><?xml version="1.0" encoding="utf-8"?>
<Properties xmlns="http://schemas.openxmlformats.org/officeDocument/2006/custom-properties" xmlns:vt="http://schemas.openxmlformats.org/officeDocument/2006/docPropsVTypes"/>
</file>