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CIQ Pro: Block, Inc.</w:t>
      </w:r>
      <w:br/>
      <w:hyperlink r:id="rId7" w:history="1">
        <w:r>
          <w:rPr>
            <w:color w:val="2980b9"/>
            <w:u w:val="single"/>
          </w:rPr>
          <w:t xml:space="preserve">https://www.capitaliq.spglobal.cn/apisv3/docviewer/documents/document_transcript_200113214</w:t>
        </w:r>
      </w:hyperlink>
    </w:p>
    <w:p>
      <w:pPr>
        <w:pStyle w:val="Heading1"/>
      </w:pPr>
      <w:bookmarkStart w:id="2" w:name="_Toc2"/>
      <w:r>
        <w:t>Article summary:</w:t>
      </w:r>
      <w:bookmarkEnd w:id="2"/>
    </w:p>
    <w:p>
      <w:pPr>
        <w:jc w:val="both"/>
      </w:pPr>
      <w:r>
        <w:rPr/>
        <w:t xml:space="preserve">1. Block, Inc. (NYSE:SQ) has outlined its investment framework, which focuses on customer retention and growth, accounting for ongoing costs of the business, and utilizing industry standard conventions.</w:t>
      </w:r>
    </w:p>
    <w:p>
      <w:pPr>
        <w:jc w:val="both"/>
      </w:pPr>
      <w:r>
        <w:rPr/>
        <w:t xml:space="preserve">2. The company is targeting a gross profit retention rate of over 100% and a Rule of 40 on adjusted operating income margin.</w:t>
      </w:r>
    </w:p>
    <w:p>
      <w:pPr>
        <w:jc w:val="both"/>
      </w:pPr>
      <w:r>
        <w:rPr/>
        <w:t xml:space="preserve">3. Block expects to deliver approximately $1.3 billion in adjusted EBITDA in 2023 with an adjusted operating income margin that modestly improves year-over-year.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Block, Inc.'s (NYSE:SQ) investment framework and its goals for 2023. The article is generally reliable in terms of providing information about the company's plans and goals for the future; however, there are some potential biases that should be noted. </w:t>
      </w:r>
    </w:p>
    <w:p>
      <w:pPr>
        <w:jc w:val="both"/>
      </w:pPr>
      <w:r>
        <w:rPr/>
        <w:t xml:space="preserve">First, the article does not provide any counterarguments or alternative perspectives on Block's investment framework or goals for 2023. While it is understandable that the company would want to present its own perspective on these matters, it would have been beneficial to include other points of view as well in order to provide a more balanced picture of the situation. </w:t>
      </w:r>
    </w:p>
    <w:p>
      <w:pPr>
        <w:jc w:val="both"/>
      </w:pPr>
      <w:r>
        <w:rPr/>
        <w:t xml:space="preserve">Second, while the article does mention potential risks associated with Block's plans for 2023, such as macroeconomic uncertainty, it does not go into much detail about how these risks could affect the company's performance or what strategies it might employ to mitigate them. This lack of detail could lead readers to underestimate the potential impact of these risks on Block's future performance. </w:t>
      </w:r>
    </w:p>
    <w:p>
      <w:pPr>
        <w:jc w:val="both"/>
      </w:pPr>
      <w:r>
        <w:rPr/>
        <w:t xml:space="preserve">Finally, while the article does provide some information about Block's historical performance and expected returns on acquisition spend in 2022 and 2023, it does not provide any evidence or data to support these claims. Without this evidence, readers may find it difficult to assess whether or not these claims are accurate or reliable. </w:t>
      </w:r>
    </w:p>
    <w:p>
      <w:pPr>
        <w:jc w:val="both"/>
      </w:pPr>
      <w:r>
        <w:rPr/>
        <w:t xml:space="preserve">In conclusion, while this article provides a useful overview of Block's investment framework and goals for 2023, there are some potential biases that should be noted when evaluating its trustworthiness and reliability. Specifically, there is a lack of counterarguments or alternative perspectives presented; insufficient detail regarding potential risks; and no evidence provided to support claims made about historical performance and expected returns on acquisition spend in 2022 and 2023.</w:t>
      </w:r>
    </w:p>
    <w:p>
      <w:pPr>
        <w:pStyle w:val="Heading1"/>
      </w:pPr>
      <w:bookmarkStart w:id="5" w:name="_Toc5"/>
      <w:r>
        <w:t>Topics for further research:</w:t>
      </w:r>
      <w:bookmarkEnd w:id="5"/>
    </w:p>
    <w:p>
      <w:pPr>
        <w:spacing w:after="0"/>
        <w:numPr>
          <w:ilvl w:val="0"/>
          <w:numId w:val="2"/>
        </w:numPr>
      </w:pPr>
      <w:r>
        <w:rPr/>
        <w:t xml:space="preserve">Block Inc. investment framework</w:t>
      </w:r>
    </w:p>
    <w:p>
      <w:pPr>
        <w:spacing w:after="0"/>
        <w:numPr>
          <w:ilvl w:val="0"/>
          <w:numId w:val="2"/>
        </w:numPr>
      </w:pPr>
      <w:r>
        <w:rPr/>
        <w:t xml:space="preserve">Block Inc. 2023 goals</w:t>
      </w:r>
    </w:p>
    <w:p>
      <w:pPr>
        <w:spacing w:after="0"/>
        <w:numPr>
          <w:ilvl w:val="0"/>
          <w:numId w:val="2"/>
        </w:numPr>
      </w:pPr>
      <w:r>
        <w:rPr/>
        <w:t xml:space="preserve">Counterarguments to Block Inc. investment framework</w:t>
      </w:r>
    </w:p>
    <w:p>
      <w:pPr>
        <w:spacing w:after="0"/>
        <w:numPr>
          <w:ilvl w:val="0"/>
          <w:numId w:val="2"/>
        </w:numPr>
      </w:pPr>
      <w:r>
        <w:rPr/>
        <w:t xml:space="preserve">Mitigation strategies for macroeconomic uncertainty</w:t>
      </w:r>
    </w:p>
    <w:p>
      <w:pPr>
        <w:spacing w:after="0"/>
        <w:numPr>
          <w:ilvl w:val="0"/>
          <w:numId w:val="2"/>
        </w:numPr>
      </w:pPr>
      <w:r>
        <w:rPr/>
        <w:t xml:space="preserve">Historical performance of Block Inc.</w:t>
      </w:r>
    </w:p>
    <w:p>
      <w:pPr>
        <w:numPr>
          <w:ilvl w:val="0"/>
          <w:numId w:val="2"/>
        </w:numPr>
      </w:pPr>
      <w:r>
        <w:rPr/>
        <w:t xml:space="preserve">Evidence for expected returns on acquisition spend</w:t>
      </w:r>
    </w:p>
    <w:p>
      <w:pPr>
        <w:pStyle w:val="Heading1"/>
      </w:pPr>
      <w:bookmarkStart w:id="6" w:name="_Toc6"/>
      <w:r>
        <w:t>Report location:</w:t>
      </w:r>
      <w:bookmarkEnd w:id="6"/>
    </w:p>
    <w:p>
      <w:hyperlink r:id="rId8" w:history="1">
        <w:r>
          <w:rPr>
            <w:color w:val="2980b9"/>
            <w:u w:val="single"/>
          </w:rPr>
          <w:t xml:space="preserve">https://www.fullpicture.app/item/3bc21ee920e649c9291efa14134752e6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61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pitaliq.spglobal.cn/apisv3/docviewer/documents/document_transcript_200113214" TargetMode="External"/><Relationship Id="rId8" Type="http://schemas.openxmlformats.org/officeDocument/2006/relationships/hyperlink" Target="https://www.fullpicture.app/item/3bc21ee920e649c9291efa14134752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2023-02-25T21:03:58+01:00</dcterms:created>
  <dcterms:modified xsi:type="dcterms:W3CDTF">2023-02-25T21:03:58+01:00</dcterms:modified>
</cp:coreProperties>
</file>

<file path=docProps/custom.xml><?xml version="1.0" encoding="utf-8"?>
<Properties xmlns="http://schemas.openxmlformats.org/officeDocument/2006/custom-properties" xmlns:vt="http://schemas.openxmlformats.org/officeDocument/2006/docPropsVTypes"/>
</file>