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investment of DC pension plan under short-selling constraints and portfolio insurance - ScienceDirect</w:t>
      </w:r>
      <w:br/>
      <w:hyperlink r:id="rId7" w:history="1">
        <w:r>
          <w:rPr>
            <w:color w:val="2980b9"/>
            <w:u w:val="single"/>
          </w:rPr>
          <w:t xml:space="preserve">https://www.sciencedirect.com/science/article/pii/S0167668718303755</w:t>
        </w:r>
      </w:hyperlink>
    </w:p>
    <w:p>
      <w:pPr>
        <w:pStyle w:val="Heading1"/>
      </w:pPr>
      <w:bookmarkStart w:id="2" w:name="_Toc2"/>
      <w:r>
        <w:t>Article summary:</w:t>
      </w:r>
      <w:bookmarkEnd w:id="2"/>
    </w:p>
    <w:p>
      <w:pPr>
        <w:jc w:val="both"/>
      </w:pPr>
      <w:r>
        <w:rPr/>
        <w:t xml:space="preserve">1. This article discusses the optimal investment strategies of defined contribution (DC) pension plans with different objectives.</w:t>
      </w:r>
    </w:p>
    <w:p>
      <w:pPr>
        <w:jc w:val="both"/>
      </w:pPr>
      <w:r>
        <w:rPr/>
        <w:t xml:space="preserve">2. It examines the asset allocation decisions for risk management of DC pension funds during the accumulation phase, and incorporates inflation risk into the model.</w:t>
      </w:r>
    </w:p>
    <w:p>
      <w:pPr>
        <w:jc w:val="both"/>
      </w:pPr>
      <w:r>
        <w:rPr/>
        <w:t xml:space="preserve">3. It also considers a portfolio insurance constraint to provide a minimum guarantee on the insurance contract, and incorporates short-selling constraints into the optimal allocation problems for a DC plan.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optimal investment strategies for defined contribution (DC) pension plans. The authors provide an extensive overview of existing literature on this topic, which demonstrates their knowledge and understanding of the subject matter. Furthermore, they discuss various aspects such as asset allocation decisions, inflation risk, portfolio insurance constraints, and short-selling constraints in detail. </w:t>
      </w:r>
    </w:p>
    <w:p>
      <w:pPr>
        <w:jc w:val="both"/>
      </w:pPr>
      <w:r>
        <w:rPr/>
        <w:t xml:space="preserve">The article does not appear to be biased or one-sided in its reporting; it presents both sides equally by discussing both DB and DC plans as well as different objectives such as mean–variance criterion and expected utility maximization. Additionally, it provides evidence for its claims by citing relevant research papers throughout the text. </w:t>
      </w:r>
    </w:p>
    <w:p>
      <w:pPr>
        <w:jc w:val="both"/>
      </w:pPr>
      <w:r>
        <w:rPr/>
        <w:t xml:space="preserve">The only potential issue with this article is that it does not explore any counterarguments or alternative perspectives on the topic at hand. While this is understandable given its focus on providing an overview of existing literature rather than presenting new insights or arguments, it would have been beneficial to include some counterarguments or alternative perspectives in order to provide a more comprehensive view of the topic. </w:t>
      </w:r>
    </w:p>
    <w:p>
      <w:pPr>
        <w:jc w:val="both"/>
      </w:pPr>
      <w:r>
        <w:rPr/>
        <w:t xml:space="preserve">In conclusion, this article is generally reliable and trustworthy in its discussion of optimal investment strategies for defined contribution (DC) pension plans. It provides an extensive overview of existing literature on this topic without appearing biased or one-sided in its reporting, although it could have benefited from exploring some counterarguments or alternative perspectives on the topic at hand.</w:t>
      </w:r>
    </w:p>
    <w:p>
      <w:pPr>
        <w:pStyle w:val="Heading1"/>
      </w:pPr>
      <w:bookmarkStart w:id="5" w:name="_Toc5"/>
      <w:r>
        <w:t>Topics for further research:</w:t>
      </w:r>
      <w:bookmarkEnd w:id="5"/>
    </w:p>
    <w:p>
      <w:pPr>
        <w:spacing w:after="0"/>
        <w:numPr>
          <w:ilvl w:val="0"/>
          <w:numId w:val="2"/>
        </w:numPr>
      </w:pPr>
      <w:r>
        <w:rPr/>
        <w:t xml:space="preserve">Defined Benefit Pension Plans </w:t>
      </w:r>
    </w:p>
    <w:p>
      <w:pPr>
        <w:spacing w:after="0"/>
        <w:numPr>
          <w:ilvl w:val="0"/>
          <w:numId w:val="2"/>
        </w:numPr>
      </w:pPr>
      <w:r>
        <w:rPr/>
        <w:t xml:space="preserve">Asset Allocation Strategies </w:t>
      </w:r>
    </w:p>
    <w:p>
      <w:pPr>
        <w:spacing w:after="0"/>
        <w:numPr>
          <w:ilvl w:val="0"/>
          <w:numId w:val="2"/>
        </w:numPr>
      </w:pPr>
      <w:r>
        <w:rPr/>
        <w:t xml:space="preserve">Inflation Risk Management </w:t>
      </w:r>
    </w:p>
    <w:p>
      <w:pPr>
        <w:spacing w:after="0"/>
        <w:numPr>
          <w:ilvl w:val="0"/>
          <w:numId w:val="2"/>
        </w:numPr>
      </w:pPr>
      <w:r>
        <w:rPr/>
        <w:t xml:space="preserve">Portfolio Insurance Constraints </w:t>
      </w:r>
    </w:p>
    <w:p>
      <w:pPr>
        <w:spacing w:after="0"/>
        <w:numPr>
          <w:ilvl w:val="0"/>
          <w:numId w:val="2"/>
        </w:numPr>
      </w:pPr>
      <w:r>
        <w:rPr/>
        <w:t xml:space="preserve">Short-Selling Constraints </w:t>
      </w:r>
    </w:p>
    <w:p>
      <w:pPr>
        <w:numPr>
          <w:ilvl w:val="0"/>
          <w:numId w:val="2"/>
        </w:numPr>
      </w:pPr>
      <w:r>
        <w:rPr/>
        <w:t xml:space="preserve">Mean-Variance Criterion</w:t>
      </w:r>
    </w:p>
    <w:p>
      <w:pPr>
        <w:pStyle w:val="Heading1"/>
      </w:pPr>
      <w:bookmarkStart w:id="6" w:name="_Toc6"/>
      <w:r>
        <w:t>Report location:</w:t>
      </w:r>
      <w:bookmarkEnd w:id="6"/>
    </w:p>
    <w:p>
      <w:hyperlink r:id="rId8" w:history="1">
        <w:r>
          <w:rPr>
            <w:color w:val="2980b9"/>
            <w:u w:val="single"/>
          </w:rPr>
          <w:t xml:space="preserve">https://www.fullpicture.app/item/3ecbebadf2348d1356816ac1dbfc139f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B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8718303755" TargetMode="External"/><Relationship Id="rId8" Type="http://schemas.openxmlformats.org/officeDocument/2006/relationships/hyperlink" Target="https://www.fullpicture.app/item/3ecbebadf2348d1356816ac1dbfc1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2023-02-19T17:35:09+01:00</dcterms:created>
  <dcterms:modified xsi:type="dcterms:W3CDTF">2023-02-19T17:35:09+01:00</dcterms:modified>
</cp:coreProperties>
</file>

<file path=docProps/custom.xml><?xml version="1.0" encoding="utf-8"?>
<Properties xmlns="http://schemas.openxmlformats.org/officeDocument/2006/custom-properties" xmlns:vt="http://schemas.openxmlformats.org/officeDocument/2006/docPropsVTypes"/>
</file>