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investor sentiment with mutual fund flows - ScienceDirect</w:t>
      </w:r>
      <w:br/>
      <w:hyperlink r:id="rId7" w:history="1">
        <w:r>
          <w:rPr>
            <w:color w:val="2980b9"/>
            <w:u w:val="single"/>
          </w:rPr>
          <w:t xml:space="preserve">https://vpn.jlu.edu.cn/https/6a6c7576706e6973746865676f6f642146ab1ccab988c2a628982887fb4b0f3fca7e3a30a5/science/article/pii/S0304405X10001947?via%3Dihub=</w:t>
        </w:r>
      </w:hyperlink>
    </w:p>
    <w:p>
      <w:pPr>
        <w:pStyle w:val="Heading1"/>
      </w:pPr>
      <w:bookmarkStart w:id="2" w:name="_Toc2"/>
      <w:r>
        <w:t>Article summary:</w:t>
      </w:r>
      <w:bookmarkEnd w:id="2"/>
    </w:p>
    <w:p>
      <w:pPr>
        <w:jc w:val="both"/>
      </w:pPr>
      <w:r>
        <w:rPr/>
        <w:t xml:space="preserve">1. Mutual fund flows between bond and equity funds can be used to measure investor sentiment.</w:t>
      </w:r>
    </w:p>
    <w:p>
      <w:pPr>
        <w:jc w:val="both"/>
      </w:pPr>
      <w:r>
        <w:rPr/>
        <w:t xml:space="preserve">2. There is a significant, negative relationship between net exchanges (normalized net exchanges) and subsequent excess market returns.</w:t>
      </w:r>
    </w:p>
    <w:p>
      <w:pPr>
        <w:jc w:val="both"/>
      </w:pPr>
      <w:r>
        <w:rPr/>
        <w:t xml:space="preserve">3. Simple trading strategies based on the sign of net exchanges can generate statistically significant excess returns in the stock market.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该文章提出了一种通过互换基金流量来衡量投资者情绪的方法，并发现这种流量与股票市场超额回报存在显著的正相关关系。然而，该研究存在一些潜在偏见和不足之处。</w:t>
      </w:r>
    </w:p>
    <w:p>
      <w:pPr>
        <w:jc w:val="both"/>
      </w:pPr>
      <w:r>
        <w:rPr/>
        <w:t xml:space="preserve"/>
      </w:r>
    </w:p>
    <w:p>
      <w:pPr>
        <w:jc w:val="both"/>
      </w:pPr>
      <w:r>
        <w:rPr/>
        <w:t xml:space="preserve">首先，该研究只关注了美国市场中债券基金和股票基金之间的转移，忽略了其他类型的基金。这可能导致对整个市场情绪的测量不够全面和准确。</w:t>
      </w:r>
    </w:p>
    <w:p>
      <w:pPr>
        <w:jc w:val="both"/>
      </w:pPr>
      <w:r>
        <w:rPr/>
        <w:t xml:space="preserve"/>
      </w:r>
    </w:p>
    <w:p>
      <w:pPr>
        <w:jc w:val="both"/>
      </w:pPr>
      <w:r>
        <w:rPr/>
        <w:t xml:space="preserve">其次，该研究使用了ICI数据，但并没有考虑到可能存在的数据缺失或错误。此外，该研究也没有探讨ICI数据本身是否具有代表性。</w:t>
      </w:r>
    </w:p>
    <w:p>
      <w:pPr>
        <w:jc w:val="both"/>
      </w:pPr>
      <w:r>
        <w:rPr/>
        <w:t xml:space="preserve"/>
      </w:r>
    </w:p>
    <w:p>
      <w:pPr>
        <w:jc w:val="both"/>
      </w:pPr>
      <w:r>
        <w:rPr/>
        <w:t xml:space="preserve">第三，该研究只考虑了投资者情绪对市场超额回报的影响，而没有考虑其他因素如政治、经济等因素对市场波动的影响。这可能导致结论过于简单化和片面化。</w:t>
      </w:r>
    </w:p>
    <w:p>
      <w:pPr>
        <w:jc w:val="both"/>
      </w:pPr>
      <w:r>
        <w:rPr/>
        <w:t xml:space="preserve"/>
      </w:r>
    </w:p>
    <w:p>
      <w:pPr>
        <w:jc w:val="both"/>
      </w:pPr>
      <w:r>
        <w:rPr/>
        <w:t xml:space="preserve">最后，该研究提出了一些交易策略，但并没有充分考虑到风险管理和平衡收益与风险之间的关系。此外，在实践中应用这些策略时需要注意到市场环境和个人投资目标等因素。</w:t>
      </w:r>
    </w:p>
    <w:p>
      <w:pPr>
        <w:jc w:val="both"/>
      </w:pPr>
      <w:r>
        <w:rPr/>
        <w:t xml:space="preserve"/>
      </w:r>
    </w:p>
    <w:p>
      <w:pPr>
        <w:jc w:val="both"/>
      </w:pPr>
      <w:r>
        <w:rPr/>
        <w:t xml:space="preserve">总之，尽管该研究提供了一种新的方法来衡量投资者情绪，但其结论需要更多的证据和探讨，同时也需要更加全面和平衡地考虑市场中各种因素的影响。</w:t>
      </w:r>
    </w:p>
    <w:p>
      <w:pPr>
        <w:pStyle w:val="Heading1"/>
      </w:pPr>
      <w:bookmarkStart w:id="5" w:name="_Toc5"/>
      <w:r>
        <w:t>Topics for further research:</w:t>
      </w:r>
      <w:bookmarkEnd w:id="5"/>
    </w:p>
    <w:p>
      <w:pPr>
        <w:spacing w:after="0"/>
        <w:numPr>
          <w:ilvl w:val="0"/>
          <w:numId w:val="2"/>
        </w:numPr>
      </w:pPr>
      <w:r>
        <w:rPr/>
        <w:t xml:space="preserve">Other types of funds
</w:t>
      </w:r>
    </w:p>
    <w:p>
      <w:pPr>
        <w:spacing w:after="0"/>
        <w:numPr>
          <w:ilvl w:val="0"/>
          <w:numId w:val="2"/>
        </w:numPr>
      </w:pPr>
      <w:r>
        <w:rPr/>
        <w:t xml:space="preserve">Data accuracy and representativeness
</w:t>
      </w:r>
    </w:p>
    <w:p>
      <w:pPr>
        <w:spacing w:after="0"/>
        <w:numPr>
          <w:ilvl w:val="0"/>
          <w:numId w:val="2"/>
        </w:numPr>
      </w:pPr>
      <w:r>
        <w:rPr/>
        <w:t xml:space="preserve">Other factors affecting market volatility
</w:t>
      </w:r>
    </w:p>
    <w:p>
      <w:pPr>
        <w:spacing w:after="0"/>
        <w:numPr>
          <w:ilvl w:val="0"/>
          <w:numId w:val="2"/>
        </w:numPr>
      </w:pPr>
      <w:r>
        <w:rPr/>
        <w:t xml:space="preserve">Risk management and balancing returns and risks
</w:t>
      </w:r>
    </w:p>
    <w:p>
      <w:pPr>
        <w:spacing w:after="0"/>
        <w:numPr>
          <w:ilvl w:val="0"/>
          <w:numId w:val="2"/>
        </w:numPr>
      </w:pPr>
      <w:r>
        <w:rPr/>
        <w:t xml:space="preserve">Need for further evidence and exploration
</w:t>
      </w:r>
    </w:p>
    <w:p>
      <w:pPr>
        <w:numPr>
          <w:ilvl w:val="0"/>
          <w:numId w:val="2"/>
        </w:numPr>
      </w:pPr>
      <w:r>
        <w:rPr/>
        <w:t xml:space="preserve">Consideration of various market factors</w:t>
      </w:r>
    </w:p>
    <w:p>
      <w:pPr>
        <w:pStyle w:val="Heading1"/>
      </w:pPr>
      <w:bookmarkStart w:id="6" w:name="_Toc6"/>
      <w:r>
        <w:t>Report location:</w:t>
      </w:r>
      <w:bookmarkEnd w:id="6"/>
    </w:p>
    <w:p>
      <w:hyperlink r:id="rId8" w:history="1">
        <w:r>
          <w:rPr>
            <w:color w:val="2980b9"/>
            <w:u w:val="single"/>
          </w:rPr>
          <w:t xml:space="preserve">https://www.fullpicture.app/item/3f5e8b833f57ce29b00fd0cf3f2a63e7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A4B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0304405X10001947?via%3Dihub=" TargetMode="External"/><Relationship Id="rId8" Type="http://schemas.openxmlformats.org/officeDocument/2006/relationships/hyperlink" Target="https://www.fullpicture.app/item/3f5e8b833f57ce29b00fd0cf3f2a63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2023-12-13T10:46:50+01:00</dcterms:created>
  <dcterms:modified xsi:type="dcterms:W3CDTF">2023-12-13T10:46:50+01:00</dcterms:modified>
</cp:coreProperties>
</file>

<file path=docProps/custom.xml><?xml version="1.0" encoding="utf-8"?>
<Properties xmlns="http://schemas.openxmlformats.org/officeDocument/2006/custom-properties" xmlns:vt="http://schemas.openxmlformats.org/officeDocument/2006/docPropsVTypes"/>
</file>