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Cryptotanshinone specifically suppresses NLRP3 inflammasome activation and protects against inflammasome-mediated diseases - PubMed</w:t>
      </w:r>
      <w:br/>
      <w:hyperlink r:id="rId7" w:history="1">
        <w:r>
          <w:rPr>
            <w:color w:val="2980b9"/>
            <w:u w:val="single"/>
          </w:rPr>
          <w:t xml:space="preserve">https://pubmed.ncbi.nlm.nih.gov/33352229/</w:t>
        </w:r>
      </w:hyperlink>
    </w:p>
    <w:p>
      <w:pPr>
        <w:pStyle w:val="Heading1"/>
      </w:pPr>
      <w:bookmarkStart w:id="2" w:name="_Toc2"/>
      <w:r>
        <w:t>Article summary:</w:t>
      </w:r>
      <w:bookmarkEnd w:id="2"/>
    </w:p>
    <w:p>
      <w:pPr>
        <w:jc w:val="both"/>
      </w:pPr>
      <w:r>
        <w:rPr/>
        <w:t xml:space="preserve">1. Cryptotanshinone (CTS) is a major component derived from the traditional medicinal herb Salvia miltiorrhiza Bunge, and has been found to be a specific inhibitor for the NLRP3 inflammasome.</w:t>
      </w:r>
    </w:p>
    <w:p>
      <w:pPr>
        <w:jc w:val="both"/>
      </w:pPr>
      <w:r>
        <w:rPr/>
        <w:t xml:space="preserve">2. CTS blocks Ca2+ signaling and the induction of mitochondrial reactive oxygen species (mtROS), which are important upstream signals of NLRP3 inflammasome activation.</w:t>
      </w:r>
    </w:p>
    <w:p>
      <w:pPr>
        <w:jc w:val="both"/>
      </w:pPr>
      <w:r>
        <w:rPr/>
        <w:t xml:space="preserve">3. CTS has been shown to attenuate caspase-1 activation and IL-1β secretion in mouse models of NLRP3 inflammasome-mediated diseases such as endotoxemia syndrome and methionine- and choline-deficient-diet-induced nonalcoholic steatohepatitis (NASH).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experiments conducted on mice models, as well as providing detailed information about the mechanism by which Cryptotanshinone suppresses NLRP3 inflammasome activation. The article also cites relevant literature to support its claims, making it more credible. However, there are some potential biases that should be noted. For example, the authors do not explore any possible risks associated with using Cryptotanshinone for treating NLRP3 inflammasome-mediated diseases, nor do they present any counterarguments or alternative treatments that could be used instead of Cryptotanshinone. Additionally, the article does not provide any evidence for its claims regarding the effectiveness of Cryptotanshinone in humans; thus, further research is needed to determine if this treatment is effective in humans before it can be recommended for clinical use.</w:t>
      </w:r>
    </w:p>
    <w:p>
      <w:pPr>
        <w:pStyle w:val="Heading1"/>
      </w:pPr>
      <w:bookmarkStart w:id="5" w:name="_Toc5"/>
      <w:r>
        <w:t>Topics for further research:</w:t>
      </w:r>
      <w:bookmarkEnd w:id="5"/>
    </w:p>
    <w:p>
      <w:pPr>
        <w:spacing w:after="0"/>
        <w:numPr>
          <w:ilvl w:val="0"/>
          <w:numId w:val="2"/>
        </w:numPr>
      </w:pPr>
      <w:r>
        <w:rPr/>
        <w:t xml:space="preserve">Risks associated with Cryptotanshinone</w:t>
      </w:r>
    </w:p>
    <w:p>
      <w:pPr>
        <w:spacing w:after="0"/>
        <w:numPr>
          <w:ilvl w:val="0"/>
          <w:numId w:val="2"/>
        </w:numPr>
      </w:pPr>
      <w:r>
        <w:rPr/>
        <w:t xml:space="preserve">Alternative treatments for NLRP3 inflammasome-mediated diseases</w:t>
      </w:r>
    </w:p>
    <w:p>
      <w:pPr>
        <w:spacing w:after="0"/>
        <w:numPr>
          <w:ilvl w:val="0"/>
          <w:numId w:val="2"/>
        </w:numPr>
      </w:pPr>
      <w:r>
        <w:rPr/>
        <w:t xml:space="preserve">Clinical trials of Cryptotanshinone</w:t>
      </w:r>
    </w:p>
    <w:p>
      <w:pPr>
        <w:spacing w:after="0"/>
        <w:numPr>
          <w:ilvl w:val="0"/>
          <w:numId w:val="2"/>
        </w:numPr>
      </w:pPr>
      <w:r>
        <w:rPr/>
        <w:t xml:space="preserve">Mechanism of action of Cryptotanshinone</w:t>
      </w:r>
    </w:p>
    <w:p>
      <w:pPr>
        <w:spacing w:after="0"/>
        <w:numPr>
          <w:ilvl w:val="0"/>
          <w:numId w:val="2"/>
        </w:numPr>
      </w:pPr>
      <w:r>
        <w:rPr/>
        <w:t xml:space="preserve">Side effects of Cryptotanshinone</w:t>
      </w:r>
    </w:p>
    <w:p>
      <w:pPr>
        <w:numPr>
          <w:ilvl w:val="0"/>
          <w:numId w:val="2"/>
        </w:numPr>
      </w:pPr>
      <w:r>
        <w:rPr/>
        <w:t xml:space="preserve">Cryptotanshinone efficacy in humans</w:t>
      </w:r>
    </w:p>
    <w:p>
      <w:pPr>
        <w:pStyle w:val="Heading1"/>
      </w:pPr>
      <w:bookmarkStart w:id="6" w:name="_Toc6"/>
      <w:r>
        <w:t>Report location:</w:t>
      </w:r>
      <w:bookmarkEnd w:id="6"/>
    </w:p>
    <w:p>
      <w:hyperlink r:id="rId8" w:history="1">
        <w:r>
          <w:rPr>
            <w:color w:val="2980b9"/>
            <w:u w:val="single"/>
          </w:rPr>
          <w:t xml:space="preserve">https://www.fullpicture.app/item/3f647eb733b98191d3e042eb0fe7f946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8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52229/" TargetMode="External"/><Relationship Id="rId8" Type="http://schemas.openxmlformats.org/officeDocument/2006/relationships/hyperlink" Target="https://www.fullpicture.app/item/3f647eb733b98191d3e042eb0fe7f9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2023-02-27T13:08:11+01:00</dcterms:created>
  <dcterms:modified xsi:type="dcterms:W3CDTF">2023-02-27T13:08:11+01:00</dcterms:modified>
</cp:coreProperties>
</file>

<file path=docProps/custom.xml><?xml version="1.0" encoding="utf-8"?>
<Properties xmlns="http://schemas.openxmlformats.org/officeDocument/2006/custom-properties" xmlns:vt="http://schemas.openxmlformats.org/officeDocument/2006/docPropsVTypes"/>
</file>