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网络成瘾流行病学的系统评价与荟萃分析 - 科学网</w:t>
      </w:r>
      <w:br/>
      <w:hyperlink r:id="rId7" w:history="1">
        <w:r>
          <w:rPr>
            <w:color w:val="2980b9"/>
            <w:u w:val="single"/>
          </w:rPr>
          <w:t xml:space="preserve">https://www.sciencedirect.com/science/article/pii/S0149763420305510</w:t>
        </w:r>
      </w:hyperlink>
    </w:p>
    <w:p>
      <w:pPr>
        <w:pStyle w:val="Heading1"/>
      </w:pPr>
      <w:bookmarkStart w:id="2" w:name="_Toc2"/>
      <w:r>
        <w:t>Article summary:</w:t>
      </w:r>
      <w:bookmarkEnd w:id="2"/>
    </w:p>
    <w:p>
      <w:pPr>
        <w:jc w:val="both"/>
      </w:pPr>
      <w:r>
        <w:rPr/>
        <w:t xml:space="preserve">1. 这是第一篇比较广泛性网络成瘾和网络游戏障碍患病率的荟萃分析。</w:t>
      </w:r>
    </w:p>
    <w:p>
      <w:pPr>
        <w:jc w:val="both"/>
      </w:pPr>
      <w:r>
        <w:rPr/>
        <w:t xml:space="preserve">2. 广泛性网络成瘾的患病率高于网络游戏障碍，且随着时间和评估工具的不同而变化。</w:t>
      </w:r>
    </w:p>
    <w:p>
      <w:pPr>
        <w:jc w:val="both"/>
      </w:pPr>
      <w:r>
        <w:rPr/>
        <w:t xml:space="preserve">3. 网络成瘾的精神病理学基础仍存在争议，但可能反映了人机交互不断增加的模式。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该文章是一篇关于网络成瘾流行病学的系统评价与荟萃分析的科学论文。它提供了有关广泛性网络成瘾和网络游戏障碍患病率的信息，并探讨了可能影响这些患病率的因素。</w:t>
      </w:r>
    </w:p>
    <w:p>
      <w:pPr>
        <w:jc w:val="both"/>
      </w:pPr>
      <w:r>
        <w:rPr/>
        <w:t xml:space="preserve"/>
      </w:r>
    </w:p>
    <w:p>
      <w:pPr>
        <w:jc w:val="both"/>
      </w:pPr>
      <w:r>
        <w:rPr/>
        <w:t xml:space="preserve">然而，该文章存在一些潜在偏见和不足之处。首先，它没有充分考虑到不同国家和地区之间对网络成瘾和游戏障碍的定义和诊断标准可能存在差异，这可能导致数据的不准确性。其次，该文章没有探讨网络成瘾和游戏障碍对个人和社会健康的潜在风险，也没有提供任何预防或治疗方案。</w:t>
      </w:r>
    </w:p>
    <w:p>
      <w:pPr>
        <w:jc w:val="both"/>
      </w:pPr>
      <w:r>
        <w:rPr/>
        <w:t xml:space="preserve"/>
      </w:r>
    </w:p>
    <w:p>
      <w:pPr>
        <w:jc w:val="both"/>
      </w:pPr>
      <w:r>
        <w:rPr/>
        <w:t xml:space="preserve">此外，该文章似乎倾向于将广泛性网络成瘾视为比游戏障碍更严重的问题，但并没有提供足够的证据来支持这种观点。最后，该文章缺乏平等地呈现双方的内容，并未探索反驳意见或其他可能解释数据差异的因素。</w:t>
      </w:r>
    </w:p>
    <w:p>
      <w:pPr>
        <w:jc w:val="both"/>
      </w:pPr>
      <w:r>
        <w:rPr/>
        <w:t xml:space="preserve"/>
      </w:r>
    </w:p>
    <w:p>
      <w:pPr>
        <w:jc w:val="both"/>
      </w:pPr>
      <w:r>
        <w:rPr/>
        <w:t xml:space="preserve">综上所述，虽然该文章提供了有关网络成瘾流行病学方面的信息，但需要更全面、客观和平衡的分析来解决这个问题。</w:t>
      </w:r>
    </w:p>
    <w:p>
      <w:pPr>
        <w:pStyle w:val="Heading1"/>
      </w:pPr>
      <w:bookmarkStart w:id="5" w:name="_Toc5"/>
      <w:r>
        <w:t>Topics for further research:</w:t>
      </w:r>
      <w:bookmarkEnd w:id="5"/>
    </w:p>
    <w:p>
      <w:pPr>
        <w:spacing w:after="0"/>
        <w:numPr>
          <w:ilvl w:val="0"/>
          <w:numId w:val="2"/>
        </w:numPr>
      </w:pPr>
      <w:r>
        <w:rPr/>
        <w:t xml:space="preserve">Definition and diagnostic criteria of internet addiction and gaming disorder
</w:t>
      </w:r>
    </w:p>
    <w:p>
      <w:pPr>
        <w:spacing w:after="0"/>
        <w:numPr>
          <w:ilvl w:val="0"/>
          <w:numId w:val="2"/>
        </w:numPr>
      </w:pPr>
      <w:r>
        <w:rPr/>
        <w:t xml:space="preserve">Potential risks of internet addiction and gaming disorder on individual and societal health
</w:t>
      </w:r>
    </w:p>
    <w:p>
      <w:pPr>
        <w:spacing w:after="0"/>
        <w:numPr>
          <w:ilvl w:val="0"/>
          <w:numId w:val="2"/>
        </w:numPr>
      </w:pPr>
      <w:r>
        <w:rPr/>
        <w:t xml:space="preserve">Prevention and treatment strategies for internet addiction and gaming disorder
</w:t>
      </w:r>
    </w:p>
    <w:p>
      <w:pPr>
        <w:spacing w:after="0"/>
        <w:numPr>
          <w:ilvl w:val="0"/>
          <w:numId w:val="2"/>
        </w:numPr>
      </w:pPr>
      <w:r>
        <w:rPr/>
        <w:t xml:space="preserve">Comparison of severity between internet addiction and gaming disorder
</w:t>
      </w:r>
    </w:p>
    <w:p>
      <w:pPr>
        <w:spacing w:after="0"/>
        <w:numPr>
          <w:ilvl w:val="0"/>
          <w:numId w:val="2"/>
        </w:numPr>
      </w:pPr>
      <w:r>
        <w:rPr/>
        <w:t xml:space="preserve">Alternative explanations for differences in data
</w:t>
      </w:r>
    </w:p>
    <w:p>
      <w:pPr>
        <w:numPr>
          <w:ilvl w:val="0"/>
          <w:numId w:val="2"/>
        </w:numPr>
      </w:pPr>
      <w:r>
        <w:rPr/>
        <w:t xml:space="preserve">Balanced presentation of both sides of the issue</w:t>
      </w:r>
    </w:p>
    <w:p>
      <w:pPr>
        <w:pStyle w:val="Heading1"/>
      </w:pPr>
      <w:bookmarkStart w:id="6" w:name="_Toc6"/>
      <w:r>
        <w:t>Report location:</w:t>
      </w:r>
      <w:bookmarkEnd w:id="6"/>
    </w:p>
    <w:p>
      <w:hyperlink r:id="rId8" w:history="1">
        <w:r>
          <w:rPr>
            <w:color w:val="2980b9"/>
            <w:u w:val="single"/>
          </w:rPr>
          <w:t xml:space="preserve">https://www.fullpicture.app/item/3f6c1b2640dc30d72b0ac238f1426bee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B06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9763420305510" TargetMode="External"/><Relationship Id="rId8" Type="http://schemas.openxmlformats.org/officeDocument/2006/relationships/hyperlink" Target="https://www.fullpicture.app/item/3f6c1b2640dc30d72b0ac238f1426b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2023-04-16T19:07:09+02:00</dcterms:created>
  <dcterms:modified xsi:type="dcterms:W3CDTF">2023-04-16T19:07:09+02:00</dcterms:modified>
</cp:coreProperties>
</file>

<file path=docProps/custom.xml><?xml version="1.0" encoding="utf-8"?>
<Properties xmlns="http://schemas.openxmlformats.org/officeDocument/2006/custom-properties" xmlns:vt="http://schemas.openxmlformats.org/officeDocument/2006/docPropsVTypes"/>
</file>