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Reconciling a national methane emission inventory with in-situ measurements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https://www.sciencedirect.com/science/article/pii/S0048969723045217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通过现场测量与国家甲烷排放清单进行对比，可以更准确地了解国家甲烷排放情况。</w:t>
      </w:r>
    </w:p>
    <w:p>
      <w:pPr>
        <w:jc w:val="both"/>
      </w:pPr>
      <w:r>
        <w:rPr/>
        <w:t xml:space="preserve">2. 在塞浦路斯进行的实地测量显示，垃圾填埋场和畜牧业的甲烷排放量比国家清单估计值高出129%和40%。</w:t>
      </w:r>
    </w:p>
    <w:p>
      <w:pPr>
        <w:jc w:val="both"/>
      </w:pPr>
      <w:r>
        <w:rPr/>
        <w:t xml:space="preserve">3. 使用高斯烟囱扩散模型进行测算时存在一定的不确定性，但通过针对代表性甲烷排放点的连续时间和空间覆盖的现场测量，可以监测和验证国家底层排放清单。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审查。然而，由于只提供了文章的标题和摘要，并没有提供具体的内容，因此无法进行详细的分析和评价。请提供完整的文章内容以便进行更深入的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body image perceptions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 and its effects on productivity
</w:t>
      </w:r>
    </w:p>
    <w:p>
      <w:pPr>
        <w:spacing w:after="0"/>
        <w:numPr>
          <w:ilvl w:val="0"/>
          <w:numId w:val="2"/>
        </w:numPr>
      </w:pPr>
      <w:r>
        <w:rPr/>
        <w:t xml:space="preserve">The spread of misinformation and fake news on social media platforms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interpersonal relationships
</w:t>
      </w:r>
    </w:p>
    <w:p>
      <w:pPr>
        <w:numPr>
          <w:ilvl w:val="0"/>
          <w:numId w:val="2"/>
        </w:numPr>
      </w:pPr>
      <w:r>
        <w:rPr/>
        <w:t xml:space="preserve">The privacy concerns associated with social media usage
通过搜索这些关键短语，用户可以找到更多关于这些主题的文章和研究，从而进行更深入的分析和评价。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https://www.fullpicture.app/item/419ccce896bcde9aea3c55cdfc42dd83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933E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23045217" TargetMode="External"/><Relationship Id="rId8" Type="http://schemas.openxmlformats.org/officeDocument/2006/relationships/hyperlink" Target="https://www.fullpicture.app/item/419ccce896bcde9aea3c55cdfc42dd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2023-12-15T21:43:04+01:00</dcterms:created>
  <dcterms:modified xsi:type="dcterms:W3CDTF">2023-12-15T21:43:04+01:00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