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Jak dostat od státu co nejvíce? Podívali jsme se, kolik peněz poslat do penzijka a kolik do DIP | Hospodářské noviny (HN.cz)</w:t>
      </w:r>
      <w:br/>
      <w:hyperlink r:id="rId7" w:history="1">
        <w:r>
          <w:rPr>
            <w:color w:val="2980b9"/>
            <w:u w:val="single"/>
          </w:rPr>
          <w:t xml:space="preserve">https://archiv.hn.cz/c1-67340640-jak-dostat-od-statu-co-nejvice-podivali-jsme-se-kolik-penez-poslat-do-penzijka-a-kolik-do-dip</w:t>
        </w:r>
      </w:hyperlink>
    </w:p>
    <w:p>
      <w:pPr>
        <w:pStyle w:val="Heading1"/>
      </w:pPr>
      <w:bookmarkStart w:id="2" w:name="_Toc2"/>
      <w:r>
        <w:t>Article summary:</w:t>
      </w:r>
      <w:bookmarkEnd w:id="2"/>
    </w:p>
    <w:p>
      <w:pPr>
        <w:jc w:val="both"/>
      </w:pPr>
      <w:r>
        <w:rPr/>
        <w:t xml:space="preserve">1. Stát nabízí podporu pro spoření na penzi formou státního příspěvku a daňového odpočtu, který se vztahuje na nové i staré penzijko a investiční produkt DIP.</w:t>
      </w:r>
    </w:p>
    <w:p>
      <w:pPr>
        <w:jc w:val="both"/>
      </w:pPr>
      <w:r>
        <w:rPr/>
        <w:t xml:space="preserve">2. Při investování do penzijka je možné získat státní příspěvek ve výši 20 % z měsíčně uložené částky, nad 500 Kč a maximálně 1700 Kč, což je výhodnější než DIP pro nižší částky.</w:t>
      </w:r>
    </w:p>
    <w:p>
      <w:pPr>
        <w:jc w:val="both"/>
      </w:pPr>
      <w:r>
        <w:rPr/>
        <w:t xml:space="preserve">3. DIP nabízí flexibilitu ve výběru portfolia a vyšší potenciál výnosů než penzijko, ale vyžaduje dosažení vyššího tempa zhodnocení kvůli nižší státní podpoře.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se zaměřuje na porovnání výhodnosti nového investičního produktu (DIP) a tradiční formy spoření na penzi (penzijko). Autor zdůrazňuje možnost flexibilnějšího investování a sestavování portfolia u DIP, což může být atraktivní pro některé investory. Nicméně, článek se soustředí převážně na výhody DIP a zdůrazňuje jeho potenciální výnosy.</w:t>
      </w:r>
    </w:p>
    <w:p>
      <w:pPr>
        <w:jc w:val="both"/>
      </w:pPr>
      <w:r>
        <w:rPr/>
        <w:t xml:space="preserve"/>
      </w:r>
    </w:p>
    <w:p>
      <w:pPr>
        <w:jc w:val="both"/>
      </w:pPr>
      <w:r>
        <w:rPr/>
        <w:t xml:space="preserve">Jedním z předsudků článku může být jednostranné zastoupení výhod DIP a nedostatečné zohlednění možných rizik spojených s tímto novým produktem. Autor nezkoumá dostatečně protiargumenty nebo možné negativní stránky DIP, jako jsou vyšší rizika spojená s investicemi do akcií nebo fondů.</w:t>
      </w:r>
    </w:p>
    <w:p>
      <w:pPr>
        <w:jc w:val="both"/>
      </w:pPr>
      <w:r>
        <w:rPr/>
        <w:t xml:space="preserve"/>
      </w:r>
    </w:p>
    <w:p>
      <w:pPr>
        <w:jc w:val="both"/>
      </w:pPr>
      <w:r>
        <w:rPr/>
        <w:t xml:space="preserve">Dalším aspektem je absence podrobné analýzy poplatků spojených s oběma formami spoření. Zmiňuje se pouze, že u penzijka se platí procento ročně ze správy a 15 procent z výnosu, ale není poskytnuta detailní informace o celkových nákladech spojených s oběma produkty. To může zkreslit skutečnou výhodnost jednoho produktu oproti druhému.</w:t>
      </w:r>
    </w:p>
    <w:p>
      <w:pPr>
        <w:jc w:val="both"/>
      </w:pPr>
      <w:r>
        <w:rPr/>
        <w:t xml:space="preserve"/>
      </w:r>
    </w:p>
    <w:p>
      <w:pPr>
        <w:jc w:val="both"/>
      </w:pPr>
      <w:r>
        <w:rPr/>
        <w:t xml:space="preserve">Autor také neposkytuje dostatečné důkazy pro svá tvrzení ohledně výhodnosti jednoho produktu oproti druhému. Chybí konkrétní data nebo studie, které by podpořily jeho argumentaci. Tím pádem čtenář nemá dostatečné informace k tomu, aby si udělal objektivní názor.</w:t>
      </w:r>
    </w:p>
    <w:p>
      <w:pPr>
        <w:jc w:val="both"/>
      </w:pPr>
      <w:r>
        <w:rPr/>
        <w:t xml:space="preserve"/>
      </w:r>
    </w:p>
    <w:p>
      <w:pPr>
        <w:jc w:val="both"/>
      </w:pPr>
      <w:r>
        <w:rPr/>
        <w:t xml:space="preserve">Celkově lze tedy říci, že článek má tendenci propagovat nový investiční produkt DIP bez dostatečné kritické analýzy a vyváženosti ve srovnání s tradičním penzijním spořením. Je důležité brát tyto informace s rezervou a provést další samostatné zkoumání před rozhodnutím o vhodnosti daného produktu pro konkrétního investora.</w:t>
      </w:r>
    </w:p>
    <w:p>
      <w:pPr>
        <w:pStyle w:val="Heading1"/>
      </w:pPr>
      <w:bookmarkStart w:id="5" w:name="_Toc5"/>
      <w:r>
        <w:t>Topics for further research:</w:t>
      </w:r>
      <w:bookmarkEnd w:id="5"/>
    </w:p>
    <w:p>
      <w:pPr>
        <w:spacing w:after="0"/>
        <w:numPr>
          <w:ilvl w:val="0"/>
          <w:numId w:val="2"/>
        </w:numPr>
      </w:pPr>
      <w:r>
        <w:rPr/>
        <w:t xml:space="preserve">Rizika spojená s investicemi do nových investičních produktů
</w:t>
      </w:r>
    </w:p>
    <w:p>
      <w:pPr>
        <w:spacing w:after="0"/>
        <w:numPr>
          <w:ilvl w:val="0"/>
          <w:numId w:val="2"/>
        </w:numPr>
      </w:pPr>
      <w:r>
        <w:rPr/>
        <w:t xml:space="preserve">Analýza poplatků spojených s penzijním spořením a novými investičními produkty
</w:t>
      </w:r>
    </w:p>
    <w:p>
      <w:pPr>
        <w:spacing w:after="0"/>
        <w:numPr>
          <w:ilvl w:val="0"/>
          <w:numId w:val="2"/>
        </w:numPr>
      </w:pPr>
      <w:r>
        <w:rPr/>
        <w:t xml:space="preserve">Studie porovnávající výhodnost tradičního penzijního spoření a nových investičních produktů
</w:t>
      </w:r>
    </w:p>
    <w:p>
      <w:pPr>
        <w:spacing w:after="0"/>
        <w:numPr>
          <w:ilvl w:val="0"/>
          <w:numId w:val="2"/>
        </w:numPr>
      </w:pPr>
      <w:r>
        <w:rPr/>
        <w:t xml:space="preserve">Možné negativní stránky nových investičních produktů
</w:t>
      </w:r>
    </w:p>
    <w:p>
      <w:pPr>
        <w:spacing w:after="0"/>
        <w:numPr>
          <w:ilvl w:val="0"/>
          <w:numId w:val="2"/>
        </w:numPr>
      </w:pPr>
      <w:r>
        <w:rPr/>
        <w:t xml:space="preserve">Objektivní srovnání výhodnosti různých forem spoření na penzi
</w:t>
      </w:r>
    </w:p>
    <w:p>
      <w:pPr>
        <w:numPr>
          <w:ilvl w:val="0"/>
          <w:numId w:val="2"/>
        </w:numPr>
      </w:pPr>
      <w:r>
        <w:rPr/>
        <w:t xml:space="preserve">Doporučení pro samostatné zkoumání a rozhodování o vhodnosti investičních produktů</w:t>
      </w:r>
    </w:p>
    <w:p>
      <w:pPr>
        <w:pStyle w:val="Heading1"/>
      </w:pPr>
      <w:bookmarkStart w:id="6" w:name="_Toc6"/>
      <w:r>
        <w:t>Report location:</w:t>
      </w:r>
      <w:bookmarkEnd w:id="6"/>
    </w:p>
    <w:p>
      <w:hyperlink r:id="rId8" w:history="1">
        <w:r>
          <w:rPr>
            <w:color w:val="2980b9"/>
            <w:u w:val="single"/>
          </w:rPr>
          <w:t xml:space="preserve">https://www.fullpicture.app/item/41ae3764daedc5917575a190d6d49bc6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5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hn.cz/c1-67340640-jak-dostat-od-statu-co-nejvice-podivali-jsme-se-kolik-penez-poslat-do-penzijka-a-kolik-do-dip" TargetMode="External"/><Relationship Id="rId8" Type="http://schemas.openxmlformats.org/officeDocument/2006/relationships/hyperlink" Target="https://www.fullpicture.app/item/41ae3764daedc5917575a190d6d49b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2024-07-17T00:53:11+02:00</dcterms:created>
  <dcterms:modified xsi:type="dcterms:W3CDTF">2024-07-17T00:53:11+02:00</dcterms:modified>
</cp:coreProperties>
</file>

<file path=docProps/custom.xml><?xml version="1.0" encoding="utf-8"?>
<Properties xmlns="http://schemas.openxmlformats.org/officeDocument/2006/custom-properties" xmlns:vt="http://schemas.openxmlformats.org/officeDocument/2006/docPropsVTypes"/>
</file>